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EA" w:rsidRDefault="00D10FE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0FEA" w:rsidRDefault="00D10FEA">
      <w:pPr>
        <w:pStyle w:val="ConsPlusNormal"/>
        <w:ind w:firstLine="540"/>
        <w:jc w:val="both"/>
        <w:outlineLvl w:val="0"/>
      </w:pPr>
    </w:p>
    <w:p w:rsidR="00D10FEA" w:rsidRDefault="00D10FEA">
      <w:pPr>
        <w:pStyle w:val="ConsPlusTitle"/>
        <w:jc w:val="center"/>
      </w:pPr>
      <w:r>
        <w:t>ФЕДЕРАЛЬНАЯ АНТИМОНОПОЛЬНАЯ СЛУЖБА</w:t>
      </w:r>
    </w:p>
    <w:p w:rsidR="00D10FEA" w:rsidRDefault="00D10FEA">
      <w:pPr>
        <w:pStyle w:val="ConsPlusTitle"/>
        <w:jc w:val="center"/>
      </w:pPr>
    </w:p>
    <w:p w:rsidR="00D10FEA" w:rsidRDefault="00D10FEA">
      <w:pPr>
        <w:pStyle w:val="ConsPlusTitle"/>
        <w:jc w:val="center"/>
      </w:pPr>
      <w:r>
        <w:t>ПИСЬМО</w:t>
      </w:r>
    </w:p>
    <w:p w:rsidR="00D10FEA" w:rsidRDefault="00D10FEA">
      <w:pPr>
        <w:pStyle w:val="ConsPlusTitle"/>
        <w:jc w:val="center"/>
      </w:pPr>
      <w:r>
        <w:t>от 27 сентября 2019 г. N АК/84598/19</w:t>
      </w:r>
    </w:p>
    <w:p w:rsidR="00D10FEA" w:rsidRDefault="00D10FEA">
      <w:pPr>
        <w:pStyle w:val="ConsPlusTitle"/>
        <w:jc w:val="center"/>
      </w:pPr>
    </w:p>
    <w:p w:rsidR="00D10FEA" w:rsidRDefault="00D10FEA">
      <w:pPr>
        <w:pStyle w:val="ConsPlusTitle"/>
        <w:jc w:val="center"/>
      </w:pPr>
      <w:r>
        <w:t>О ПРАВОМЕРНОСТИ</w:t>
      </w:r>
    </w:p>
    <w:p w:rsidR="00D10FEA" w:rsidRDefault="00D10FEA">
      <w:pPr>
        <w:pStyle w:val="ConsPlusTitle"/>
        <w:jc w:val="center"/>
      </w:pPr>
      <w:r>
        <w:t>ВЗИМАНИЯ КОМИССИИ ПРИ ОПЛАТЕ ЖИЛИЩНО-КОММУНАЛЬНЫХ УСЛУГ</w:t>
      </w:r>
    </w:p>
    <w:p w:rsidR="00D10FEA" w:rsidRDefault="00D10FEA">
      <w:pPr>
        <w:pStyle w:val="ConsPlusNormal"/>
        <w:jc w:val="center"/>
      </w:pPr>
    </w:p>
    <w:p w:rsidR="00D10FEA" w:rsidRDefault="00D10FEA">
      <w:pPr>
        <w:pStyle w:val="ConsPlusNormal"/>
        <w:ind w:firstLine="540"/>
        <w:jc w:val="both"/>
      </w:pPr>
      <w:proofErr w:type="gramStart"/>
      <w:r>
        <w:t xml:space="preserve">Федеральная антимонопольная служба во исполнение </w:t>
      </w:r>
      <w:hyperlink r:id="rId6" w:history="1">
        <w:r>
          <w:rPr>
            <w:color w:val="0000FF"/>
          </w:rPr>
          <w:t>пункта 49</w:t>
        </w:r>
      </w:hyperlink>
      <w:r>
        <w:t xml:space="preserve"> Плана оказания методической помощи территориальным органам ФАС России в 2019 году, утвержденного приказом ФАС России от 18.04.2019 N 477/19, подготовила и направляет для использования в работе территориальных органов ФАС России настоящие разъяснения по вопросу правомерности и соответствия антимонопольному законодательству взимания комиссий банками при оплате жилищно-коммунальных услуг.</w:t>
      </w:r>
      <w:proofErr w:type="gramEnd"/>
    </w:p>
    <w:p w:rsidR="00D10FEA" w:rsidRDefault="00D10FEA">
      <w:pPr>
        <w:pStyle w:val="ConsPlusNormal"/>
        <w:spacing w:before="220"/>
        <w:ind w:firstLine="540"/>
        <w:jc w:val="both"/>
      </w:pPr>
      <w:r>
        <w:t>В настоящее время прием и перевод денежных сре</w:t>
      </w:r>
      <w:proofErr w:type="gramStart"/>
      <w:r>
        <w:t>дств в сч</w:t>
      </w:r>
      <w:proofErr w:type="gramEnd"/>
      <w:r>
        <w:t>ет оплаты жилищно-коммунальных услуг в соответствии с законодательством Российской Федерации может быть осуществлен рядом хозяйствующих субъектов, в частности, кредитными организациями, платежными агентами, банковскими платежными агентами и операторами почтовой связи.</w:t>
      </w:r>
    </w:p>
    <w:p w:rsidR="00D10FEA" w:rsidRDefault="00D10FEA">
      <w:pPr>
        <w:pStyle w:val="ConsPlusNormal"/>
        <w:spacing w:before="220"/>
        <w:ind w:firstLine="540"/>
        <w:jc w:val="both"/>
      </w:pPr>
      <w:r>
        <w:t>При обращении физического лица в кредитную организацию в целях перевода денежных сре</w:t>
      </w:r>
      <w:proofErr w:type="gramStart"/>
      <w:r>
        <w:t>дств в сч</w:t>
      </w:r>
      <w:proofErr w:type="gramEnd"/>
      <w:r>
        <w:t xml:space="preserve">ет оплаты каких-либо услуг данная кредитная организация оказывает такому гражданину одну из банковских операций, предусмотренных </w:t>
      </w:r>
      <w:hyperlink r:id="rId7" w:history="1">
        <w:r>
          <w:rPr>
            <w:color w:val="0000FF"/>
          </w:rPr>
          <w:t>статьей 5</w:t>
        </w:r>
      </w:hyperlink>
      <w:r>
        <w:t xml:space="preserve"> Федерального закона от 02.12.1990 N 395-1 "О банках и банковской деятельности".</w:t>
      </w:r>
    </w:p>
    <w:p w:rsidR="00D10FEA" w:rsidRDefault="00D10FEA">
      <w:pPr>
        <w:pStyle w:val="ConsPlusNormal"/>
        <w:spacing w:before="220"/>
        <w:ind w:firstLine="540"/>
        <w:jc w:val="both"/>
      </w:pPr>
      <w:r>
        <w:t xml:space="preserve">При этом согласно </w:t>
      </w:r>
      <w:hyperlink r:id="rId8" w:history="1">
        <w:r>
          <w:rPr>
            <w:color w:val="0000FF"/>
          </w:rPr>
          <w:t>статье 29</w:t>
        </w:r>
      </w:hyperlink>
      <w:r>
        <w:t xml:space="preserve"> указанного закона комиссионное вознаграждение по операциям устанавливается кредитной организацией по соглашению с клиентами, если иное не предусмотрено федеральным законом.</w:t>
      </w:r>
    </w:p>
    <w:p w:rsidR="00D10FEA" w:rsidRDefault="00D10FEA">
      <w:pPr>
        <w:pStyle w:val="ConsPlusNormal"/>
        <w:spacing w:before="220"/>
        <w:ind w:firstLine="540"/>
        <w:jc w:val="both"/>
      </w:pPr>
      <w:r>
        <w:t xml:space="preserve">В соответствии с </w:t>
      </w:r>
      <w:hyperlink r:id="rId9" w:history="1">
        <w:r>
          <w:rPr>
            <w:color w:val="0000FF"/>
          </w:rPr>
          <w:t>частью 2 статьи 3</w:t>
        </w:r>
      </w:hyperlink>
      <w:r>
        <w:t xml:space="preserve"> Федерального закона от 03.06.2009 N 103-ФЗ "О деятельности по приему платежей физических лиц, осуществляемой платежными агентами"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w:t>
      </w:r>
    </w:p>
    <w:p w:rsidR="00D10FEA" w:rsidRDefault="00D10FEA">
      <w:pPr>
        <w:pStyle w:val="ConsPlusNormal"/>
        <w:spacing w:before="220"/>
        <w:ind w:firstLine="540"/>
        <w:jc w:val="both"/>
      </w:pPr>
      <w:r>
        <w:t xml:space="preserve">Как следует из </w:t>
      </w:r>
      <w:hyperlink r:id="rId10" w:history="1">
        <w:r>
          <w:rPr>
            <w:color w:val="0000FF"/>
          </w:rPr>
          <w:t>части 17 статьи 14</w:t>
        </w:r>
      </w:hyperlink>
      <w:r>
        <w:t xml:space="preserve"> Федерального закона от 27.06.2011 N 161-ФЗ "О национальной платежной системе", банковский платежный агент вправе взимать с физических лиц вознаграждение, если это предусмотрено договором с оператором по переводу денежных средств.</w:t>
      </w:r>
    </w:p>
    <w:p w:rsidR="00D10FEA" w:rsidRDefault="00D10FEA">
      <w:pPr>
        <w:pStyle w:val="ConsPlusNormal"/>
        <w:spacing w:before="220"/>
        <w:ind w:firstLine="540"/>
        <w:jc w:val="both"/>
      </w:pPr>
      <w:r>
        <w:t xml:space="preserve">Согласно </w:t>
      </w:r>
      <w:hyperlink r:id="rId11" w:history="1">
        <w:r>
          <w:rPr>
            <w:color w:val="0000FF"/>
          </w:rPr>
          <w:t>статье 16</w:t>
        </w:r>
      </w:hyperlink>
      <w:r>
        <w:t xml:space="preserve"> Федерального закона от 17.07.1999 N 176-ФЗ "О почтовой связи" услуги почтовой связи, под которыми понимаются, в том числе, действия или деятельность по осуществлению почтовых переводов денежных средств, оказываются операторами почтовой связи на договорной основе. Пользователь услуг почтовой связи обязан оплатить оказанные ему услуги.</w:t>
      </w:r>
    </w:p>
    <w:p w:rsidR="00D10FEA" w:rsidRDefault="00D10FEA">
      <w:pPr>
        <w:pStyle w:val="ConsPlusNormal"/>
        <w:spacing w:before="220"/>
        <w:ind w:firstLine="540"/>
        <w:jc w:val="both"/>
      </w:pPr>
      <w:proofErr w:type="gramStart"/>
      <w:r>
        <w:t>Таким образом, принимая во внимание отсутствие в законодательстве Российской Федерации запретов на взимание кредитными организациями, платежными агентами, банковскими платежными агентами и операторами почтовой связи комиссионного вознаграждения при оплате гражданами услуг жилищно-коммунального хозяйства, осуществляя указанные операции по поручению физического лица, названные организации вправе удержать с такого физического лица комиссионное вознаграждение за выполнение этих операций.</w:t>
      </w:r>
      <w:proofErr w:type="gramEnd"/>
    </w:p>
    <w:p w:rsidR="00D10FEA" w:rsidRDefault="00D10FEA">
      <w:pPr>
        <w:pStyle w:val="ConsPlusNormal"/>
        <w:spacing w:before="220"/>
        <w:ind w:firstLine="540"/>
        <w:jc w:val="both"/>
      </w:pPr>
      <w:r>
        <w:lastRenderedPageBreak/>
        <w:t xml:space="preserve">Кроме того, законодательство Российской Федерации в настоящее время не содержит положений об обязанности </w:t>
      </w:r>
      <w:proofErr w:type="spellStart"/>
      <w:r>
        <w:t>ресурсоснабжающей</w:t>
      </w:r>
      <w:proofErr w:type="spellEnd"/>
      <w:r>
        <w:t xml:space="preserve"> организации обеспечивать безвозмездное оказание всеми названными хозяйствующими субъектами или каким-либо отдельным хозяйствующим субъектом услуг по приему и перечислению денежных сре</w:t>
      </w:r>
      <w:proofErr w:type="gramStart"/>
      <w:r>
        <w:t>дств в сч</w:t>
      </w:r>
      <w:proofErr w:type="gramEnd"/>
      <w:r>
        <w:t>ет оплаты жилищно-коммунальных услуг.</w:t>
      </w:r>
    </w:p>
    <w:p w:rsidR="00D10FEA" w:rsidRDefault="00D10FEA">
      <w:pPr>
        <w:pStyle w:val="ConsPlusNormal"/>
        <w:spacing w:before="220"/>
        <w:ind w:firstLine="540"/>
        <w:jc w:val="both"/>
      </w:pPr>
      <w:r>
        <w:t>Физические лица, в том числе, исходя из экономических соображений, для оплаты жилищно-коммунальных услуг, вправе выбрать любой способ осуществления таких платежей, равно как и любую кредитную и иную организацию, оказывающую услуги по приему и переводу денежных средств.</w:t>
      </w:r>
    </w:p>
    <w:p w:rsidR="00D10FEA" w:rsidRDefault="00D10FEA">
      <w:pPr>
        <w:pStyle w:val="ConsPlusNormal"/>
        <w:spacing w:before="220"/>
        <w:ind w:firstLine="540"/>
        <w:jc w:val="both"/>
      </w:pPr>
      <w:r>
        <w:t>При этом в настоящее время существует практика включения в состав экономически обоснованных расходов организаций, осуществляющих регулируемый вид деятельности, расходов физических лиц - потребителей коммунальных услуг на платежные услуги, оказываемые банками и иными организациями, в связи с заключением между этими организациями договоров.</w:t>
      </w:r>
    </w:p>
    <w:p w:rsidR="00D10FEA" w:rsidRDefault="00D10FEA">
      <w:pPr>
        <w:pStyle w:val="ConsPlusNormal"/>
        <w:spacing w:before="220"/>
        <w:ind w:firstLine="540"/>
        <w:jc w:val="both"/>
      </w:pPr>
      <w:r>
        <w:t xml:space="preserve">Такие договоры, как правило, заключены с ограниченным количеством организаций, оказывающих платежные услуги, и содержат условие о </w:t>
      </w:r>
      <w:proofErr w:type="spellStart"/>
      <w:r>
        <w:t>невзимании</w:t>
      </w:r>
      <w:proofErr w:type="spellEnd"/>
      <w:r>
        <w:t xml:space="preserve"> платы за внесение платежей с потребителей коммунальных услуг. Соответственно, потребители коммунальных услуг обращаются в такие организации, поскольку в них отсутствует необходимость оплаты комиссии за внесение платежей за коммунальные услуги.</w:t>
      </w:r>
    </w:p>
    <w:p w:rsidR="00D10FEA" w:rsidRDefault="00D10FEA">
      <w:pPr>
        <w:pStyle w:val="ConsPlusNormal"/>
        <w:spacing w:before="220"/>
        <w:ind w:firstLine="540"/>
        <w:jc w:val="both"/>
      </w:pPr>
      <w:proofErr w:type="gramStart"/>
      <w:r>
        <w:t xml:space="preserve">В связи с этим необходимо отметить, что 5 сентября 2019 года принято </w:t>
      </w:r>
      <w:hyperlink r:id="rId12" w:history="1">
        <w:r>
          <w:rPr>
            <w:color w:val="0000FF"/>
          </w:rPr>
          <w:t>постановление</w:t>
        </w:r>
      </w:hyperlink>
      <w:r>
        <w:t xml:space="preserve"> Правительства Российской Федерации N 1164 "О внесении изменений в некоторые акты Правительства Российской Федерации", которое устанавливает прямой запрет на включение в состав экономически обоснованных расходов организаций, осуществляющих регулируемый вид деятельности &lt;1&gt;, расходов потребителей коммунальных услуг на платежные услуги, оказываемые банками и иными организациями в соответствии с законодательством</w:t>
      </w:r>
      <w:proofErr w:type="gramEnd"/>
      <w:r>
        <w:t xml:space="preserve"> Российской Федерации, при внесении такими потребителями платы за коммунальные услуги.</w:t>
      </w:r>
    </w:p>
    <w:p w:rsidR="00D10FEA" w:rsidRDefault="00D10FEA">
      <w:pPr>
        <w:pStyle w:val="ConsPlusNormal"/>
        <w:spacing w:before="220"/>
        <w:ind w:firstLine="540"/>
        <w:jc w:val="both"/>
      </w:pPr>
      <w:r>
        <w:t>--------------------------------</w:t>
      </w:r>
    </w:p>
    <w:p w:rsidR="00D10FEA" w:rsidRDefault="00D10FEA">
      <w:pPr>
        <w:pStyle w:val="ConsPlusNormal"/>
        <w:spacing w:before="220"/>
        <w:ind w:firstLine="540"/>
        <w:jc w:val="both"/>
      </w:pPr>
      <w:r>
        <w:t>&lt;1</w:t>
      </w:r>
      <w:proofErr w:type="gramStart"/>
      <w:r>
        <w:t>&gt; В</w:t>
      </w:r>
      <w:proofErr w:type="gramEnd"/>
      <w:r>
        <w:t xml:space="preserve"> сферах: водоснабжения и водоотведения; газоснабжения; обращения с твердыми коммунальными отходами; теплоснабжения; электроснабжения.</w:t>
      </w:r>
    </w:p>
    <w:p w:rsidR="00D10FEA" w:rsidRDefault="00D10FEA">
      <w:pPr>
        <w:pStyle w:val="ConsPlusNormal"/>
        <w:ind w:firstLine="540"/>
        <w:jc w:val="both"/>
      </w:pPr>
    </w:p>
    <w:p w:rsidR="00D10FEA" w:rsidRDefault="00D10FEA">
      <w:pPr>
        <w:pStyle w:val="ConsPlusNormal"/>
        <w:ind w:firstLine="540"/>
        <w:jc w:val="both"/>
      </w:pPr>
      <w:r>
        <w:t xml:space="preserve">Указанное </w:t>
      </w:r>
      <w:hyperlink r:id="rId13" w:history="1">
        <w:r>
          <w:rPr>
            <w:color w:val="0000FF"/>
          </w:rPr>
          <w:t>постановление</w:t>
        </w:r>
      </w:hyperlink>
      <w:r>
        <w:t xml:space="preserve"> вступает в силу по истечении одного года со дня его официального опубликования - в сентябре 2020 года. С этого момента платежные услуги, оказываемые банками и иными организациями при внесении платы за коммунальные услуги, будут оплачиваться потребителями коммунальных услуг непосредственно в этих банках и организациях.</w:t>
      </w:r>
    </w:p>
    <w:p w:rsidR="00D10FEA" w:rsidRDefault="00D10FEA">
      <w:pPr>
        <w:pStyle w:val="ConsPlusNormal"/>
        <w:spacing w:before="220"/>
        <w:ind w:firstLine="540"/>
        <w:jc w:val="both"/>
      </w:pPr>
      <w:r>
        <w:t>Подробные разъяснения по применению указанного запрета будут направлены в территориальные органы ФАС России дополнительно.</w:t>
      </w:r>
    </w:p>
    <w:p w:rsidR="00D10FEA" w:rsidRDefault="00D10FEA">
      <w:pPr>
        <w:pStyle w:val="ConsPlusNormal"/>
        <w:spacing w:before="220"/>
        <w:ind w:firstLine="540"/>
        <w:jc w:val="both"/>
      </w:pPr>
      <w:r>
        <w:t xml:space="preserve">Отдельно необходимо отметить, что положениями </w:t>
      </w:r>
      <w:hyperlink r:id="rId14" w:history="1">
        <w:r>
          <w:rPr>
            <w:color w:val="0000FF"/>
          </w:rPr>
          <w:t>раздела IX</w:t>
        </w:r>
      </w:hyperlink>
      <w:r>
        <w:t xml:space="preserve"> Жилищного кодекса Российской Федерации (далее - Жилищный кодекс) установлены способы формирования фонда капитального ремонта и порядок уплаты взносов на капитальный ремонт общего имущества в многоквартирном доме.</w:t>
      </w:r>
    </w:p>
    <w:p w:rsidR="00D10FEA" w:rsidRDefault="00D10FEA">
      <w:pPr>
        <w:pStyle w:val="ConsPlusNormal"/>
        <w:spacing w:before="220"/>
        <w:ind w:firstLine="540"/>
        <w:jc w:val="both"/>
      </w:pPr>
      <w:r>
        <w:t xml:space="preserve">Так, в соответствии с </w:t>
      </w:r>
      <w:hyperlink r:id="rId15" w:history="1">
        <w:r>
          <w:rPr>
            <w:color w:val="0000FF"/>
          </w:rPr>
          <w:t>частью 3 статьи 170</w:t>
        </w:r>
      </w:hyperlink>
      <w:r>
        <w:t xml:space="preserve"> Жилищного кодекса собственники помещений в многоквартирном доме вправе выбрать один из следующих способов формирования фонда капитального ремонта:</w:t>
      </w:r>
    </w:p>
    <w:p w:rsidR="00D10FEA" w:rsidRDefault="00D10FE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10FEA" w:rsidRDefault="00D10FEA">
      <w:pPr>
        <w:pStyle w:val="ConsPlusNormal"/>
        <w:spacing w:before="220"/>
        <w:ind w:firstLine="540"/>
        <w:jc w:val="both"/>
      </w:pPr>
      <w: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10FEA" w:rsidRDefault="00D10FEA">
      <w:pPr>
        <w:pStyle w:val="ConsPlusNormal"/>
        <w:spacing w:before="220"/>
        <w:ind w:firstLine="540"/>
        <w:jc w:val="both"/>
      </w:pPr>
      <w:r>
        <w:t>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счете регионального оператора, то следует отметить, что согласно </w:t>
      </w:r>
      <w:hyperlink r:id="rId16" w:history="1">
        <w:r>
          <w:rPr>
            <w:color w:val="0000FF"/>
          </w:rPr>
          <w:t>части 3 статьи 180</w:t>
        </w:r>
      </w:hyperlink>
      <w:r>
        <w:t xml:space="preserve"> Жилищного кодекса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w:t>
      </w:r>
    </w:p>
    <w:p w:rsidR="00D10FEA" w:rsidRDefault="00D10FEA">
      <w:pPr>
        <w:pStyle w:val="ConsPlusNormal"/>
        <w:spacing w:before="220"/>
        <w:ind w:firstLine="540"/>
        <w:jc w:val="both"/>
      </w:pPr>
      <w:proofErr w:type="gramStart"/>
      <w:r>
        <w:t xml:space="preserve">На основании указанной </w:t>
      </w:r>
      <w:hyperlink r:id="rId17" w:history="1">
        <w:r>
          <w:rPr>
            <w:color w:val="0000FF"/>
          </w:rPr>
          <w:t>нормы</w:t>
        </w:r>
      </w:hyperlink>
      <w:r>
        <w:t xml:space="preserve"> было принято </w:t>
      </w:r>
      <w:hyperlink r:id="rId18"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 утвержденное постановлением Правительства Российской Федерации от 23.05.2016 N 454, в соответствии с </w:t>
      </w:r>
      <w:hyperlink r:id="rId19" w:history="1">
        <w:r>
          <w:rPr>
            <w:color w:val="0000FF"/>
          </w:rPr>
          <w:t>пунктами 17</w:t>
        </w:r>
      </w:hyperlink>
      <w:r>
        <w:t xml:space="preserve"> и </w:t>
      </w:r>
      <w:hyperlink r:id="rId20" w:history="1">
        <w:r>
          <w:rPr>
            <w:color w:val="0000FF"/>
          </w:rPr>
          <w:t>72</w:t>
        </w:r>
      </w:hyperlink>
      <w:r>
        <w:t xml:space="preserve"> которого договор банковского счета, заключаемый региональным оператором с российской кредитной организацией, являющейся победителем конкурса, должен содержать:</w:t>
      </w:r>
      <w:proofErr w:type="gramEnd"/>
    </w:p>
    <w:p w:rsidR="00D10FEA" w:rsidRDefault="00D10FEA">
      <w:pPr>
        <w:pStyle w:val="ConsPlusNormal"/>
        <w:spacing w:before="220"/>
        <w:ind w:firstLine="540"/>
        <w:jc w:val="both"/>
      </w:pPr>
      <w:proofErr w:type="gramStart"/>
      <w:r>
        <w:t>-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w:t>
      </w:r>
      <w:proofErr w:type="gramEnd"/>
      <w:r>
        <w:t xml:space="preserve">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w:t>
      </w:r>
    </w:p>
    <w:p w:rsidR="00D10FEA" w:rsidRDefault="00D10FEA">
      <w:pPr>
        <w:pStyle w:val="ConsPlusNormal"/>
        <w:spacing w:before="220"/>
        <w:ind w:firstLine="540"/>
        <w:jc w:val="both"/>
      </w:pPr>
      <w:proofErr w:type="gramStart"/>
      <w:r>
        <w:t>-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w:t>
      </w:r>
      <w:proofErr w:type="gramEnd"/>
      <w:r>
        <w:t xml:space="preserve">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D10FEA" w:rsidRDefault="00D10FEA">
      <w:pPr>
        <w:pStyle w:val="ConsPlusNormal"/>
        <w:spacing w:before="220"/>
        <w:ind w:firstLine="540"/>
        <w:jc w:val="both"/>
      </w:pPr>
      <w:r>
        <w:t xml:space="preserve">При этом ФАС России обращает внимание, что иных обязанностей региональных операторов </w:t>
      </w:r>
      <w:proofErr w:type="gramStart"/>
      <w:r>
        <w:t>обеспечивать возможность для граждан оплачивать без взимания комиссионного вознаграждения взносы на капитальный ремонт общего имущества в многоквартирном доме в законодательстве Российской Федерации не было</w:t>
      </w:r>
      <w:proofErr w:type="gramEnd"/>
      <w:r>
        <w:t xml:space="preserve"> выявлено.</w:t>
      </w:r>
    </w:p>
    <w:p w:rsidR="00D10FEA" w:rsidRDefault="00D10FEA">
      <w:pPr>
        <w:pStyle w:val="ConsPlusNormal"/>
        <w:spacing w:before="220"/>
        <w:ind w:firstLine="540"/>
        <w:jc w:val="both"/>
      </w:pPr>
      <w:r>
        <w:t>В случае формирования фонда капитального ремонта на специальном счете возможность для граждан оплачивать без взимания комиссионного вознаграждения взносы на капитальный ремонт общего имущества в многоквартирном доме в каких-либо организациях, осуществляющих прием и перечисление денежных сре</w:t>
      </w:r>
      <w:proofErr w:type="gramStart"/>
      <w:r>
        <w:t>дств в сч</w:t>
      </w:r>
      <w:proofErr w:type="gramEnd"/>
      <w:r>
        <w:t>ет оплаты соответствующих услуг, законодательством Российской Федерации также не предусмотрена.</w:t>
      </w:r>
    </w:p>
    <w:p w:rsidR="00D10FEA" w:rsidRDefault="00D10FEA">
      <w:pPr>
        <w:pStyle w:val="ConsPlusNormal"/>
        <w:spacing w:before="220"/>
        <w:ind w:firstLine="540"/>
        <w:jc w:val="both"/>
      </w:pPr>
      <w:r>
        <w:t xml:space="preserve">При этом законодательство Российской Федерации также не предусматривает каких-либо ограничений в части возможности оплаты гражданами коммунальных услуг, в том числе взносов </w:t>
      </w:r>
      <w:r>
        <w:lastRenderedPageBreak/>
        <w:t>на капитальный ремонт, путем наличных и безналичных расчетов в любой выбранной гражданами кредитной организаций, почтовыми переводами или путем внесения платы через платежных агентов.</w:t>
      </w:r>
    </w:p>
    <w:p w:rsidR="00D10FEA" w:rsidRDefault="00D10FEA">
      <w:pPr>
        <w:pStyle w:val="ConsPlusNormal"/>
        <w:spacing w:before="220"/>
        <w:ind w:firstLine="540"/>
        <w:jc w:val="both"/>
      </w:pPr>
      <w:r>
        <w:t>Одновременно ФАС России обращает внимание на то, что хозяйствующие субъекты при оказании услуг по приему и переводу денежных средств обязаны соблюдать требования антимонопольного законодательства.</w:t>
      </w:r>
    </w:p>
    <w:p w:rsidR="00D10FEA" w:rsidRDefault="00D10FEA">
      <w:pPr>
        <w:pStyle w:val="ConsPlusNormal"/>
        <w:spacing w:before="220"/>
        <w:ind w:firstLine="540"/>
        <w:jc w:val="both"/>
      </w:pPr>
      <w:proofErr w:type="gramStart"/>
      <w:r>
        <w:t xml:space="preserve">Так, в соответствии с </w:t>
      </w:r>
      <w:hyperlink r:id="rId21" w:history="1">
        <w:r>
          <w:rPr>
            <w:color w:val="0000FF"/>
          </w:rPr>
          <w:t>частью 1 статьи 10</w:t>
        </w:r>
      </w:hyperlink>
      <w:r>
        <w:t xml:space="preserve"> Федерального закона от 26.07.2006 N 135-ФЗ "О защите конкуренции" (далее - Закон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включая установление монопольно высокой</w:t>
      </w:r>
      <w:proofErr w:type="gramEnd"/>
      <w:r>
        <w:t xml:space="preserve"> цены, установление финансовой организацией необоснованно высокой цены финансовой услуги.</w:t>
      </w:r>
    </w:p>
    <w:p w:rsidR="00D10FEA" w:rsidRDefault="00D10FEA">
      <w:pPr>
        <w:pStyle w:val="ConsPlusNormal"/>
        <w:spacing w:before="220"/>
        <w:ind w:firstLine="540"/>
        <w:jc w:val="both"/>
      </w:pPr>
      <w:proofErr w:type="gramStart"/>
      <w:r>
        <w:t xml:space="preserve">Под необоснованно высокой ценой финансовой услуги согласно </w:t>
      </w:r>
      <w:hyperlink r:id="rId22" w:history="1">
        <w:r>
          <w:rPr>
            <w:color w:val="0000FF"/>
          </w:rPr>
          <w:t>пункту 12 статьи 4</w:t>
        </w:r>
      </w:hyperlink>
      <w:r>
        <w:t xml:space="preserve"> Закона о защите конкуренции понимается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roofErr w:type="gramEnd"/>
    </w:p>
    <w:p w:rsidR="00D10FEA" w:rsidRDefault="00D10FEA">
      <w:pPr>
        <w:pStyle w:val="ConsPlusNormal"/>
        <w:spacing w:before="220"/>
        <w:ind w:firstLine="540"/>
        <w:jc w:val="both"/>
      </w:pPr>
      <w:proofErr w:type="gramStart"/>
      <w:r>
        <w:t xml:space="preserve">Доминирующим положением, как установлено </w:t>
      </w:r>
      <w:hyperlink r:id="rId23" w:history="1">
        <w:r>
          <w:rPr>
            <w:color w:val="0000FF"/>
          </w:rPr>
          <w:t>частью 1 статьи 5</w:t>
        </w:r>
      </w:hyperlink>
      <w:r>
        <w:t xml:space="preserve"> Закона о защите конкуренции, признается положение хозяйствующего субъекта (группы лиц) на рынке определенного товара, дающее такому хозяйствующему субъекту (группе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w:t>
      </w:r>
      <w:proofErr w:type="gramEnd"/>
      <w:r>
        <w:t xml:space="preserve"> хозяйствующим субъектам.</w:t>
      </w:r>
    </w:p>
    <w:p w:rsidR="00D10FEA" w:rsidRDefault="00D10FEA">
      <w:pPr>
        <w:pStyle w:val="ConsPlusNormal"/>
        <w:spacing w:before="220"/>
        <w:ind w:firstLine="540"/>
        <w:jc w:val="both"/>
      </w:pPr>
      <w:proofErr w:type="gramStart"/>
      <w:r>
        <w:t xml:space="preserve">Для квалификации тех или иных действий хозяйствующего субъекта в качестве нарушения </w:t>
      </w:r>
      <w:hyperlink r:id="rId24" w:history="1">
        <w:r>
          <w:rPr>
            <w:color w:val="0000FF"/>
          </w:rPr>
          <w:t>статьи 10</w:t>
        </w:r>
      </w:hyperlink>
      <w:r>
        <w:t xml:space="preserve"> Закона о защите конкуренции определению подлежат продуктовые границы товарного рынка, в том числе с учетом взаимозаменяемости товаров (услуг) на этом рынке и географические границы товарного рынка, на котором усматриваются признаки указанного нарушения, положение на этом рынке хозяйствующего субъекта и его конкурентов, а также общие условия обращения на</w:t>
      </w:r>
      <w:proofErr w:type="gramEnd"/>
      <w:r>
        <w:t xml:space="preserve"> товарном </w:t>
      </w:r>
      <w:proofErr w:type="gramStart"/>
      <w:r>
        <w:t>рынке</w:t>
      </w:r>
      <w:proofErr w:type="gramEnd"/>
      <w:r>
        <w:t xml:space="preserve"> товара (услуги), в связи с реализацией которого в действиях хозяйствующего субъекта усматриваются признаки соответствующего нарушения.</w:t>
      </w:r>
    </w:p>
    <w:p w:rsidR="00D10FEA" w:rsidRDefault="00D10FEA">
      <w:pPr>
        <w:pStyle w:val="ConsPlusNormal"/>
        <w:spacing w:before="220"/>
        <w:ind w:firstLine="540"/>
        <w:jc w:val="both"/>
      </w:pPr>
      <w:r>
        <w:t>При этом следует отметить, что определяемые при проведении соответствующего анализа границы товарного рынка могут различаться и, в частности, географически быть ограничены территорией отдельного населенного пункта или субъекта Российской Федерации.</w:t>
      </w:r>
    </w:p>
    <w:p w:rsidR="00D10FEA" w:rsidRDefault="00D10FEA">
      <w:pPr>
        <w:pStyle w:val="ConsPlusNormal"/>
        <w:spacing w:before="220"/>
        <w:ind w:firstLine="540"/>
        <w:jc w:val="both"/>
      </w:pPr>
      <w:proofErr w:type="gramStart"/>
      <w:r>
        <w:t xml:space="preserve">Ввиду изложенного одни и те же действия хозяйствующего субъекта могут нарушать </w:t>
      </w:r>
      <w:hyperlink r:id="rId25" w:history="1">
        <w:r>
          <w:rPr>
            <w:color w:val="0000FF"/>
          </w:rPr>
          <w:t>статью 10</w:t>
        </w:r>
      </w:hyperlink>
      <w:r>
        <w:t xml:space="preserve"> Закона о защите конкуренции на одной территории, если в ее пределах данный хозяйствующий субъект занимает доминирующее положение, однако при этом не нарушать указанного запрета на другой территории, если в ее пределах этот хозяйствующий субъект доминирующего положения не занимает.</w:t>
      </w:r>
      <w:proofErr w:type="gramEnd"/>
    </w:p>
    <w:p w:rsidR="00D10FEA" w:rsidRDefault="00D10FEA">
      <w:pPr>
        <w:pStyle w:val="ConsPlusNormal"/>
        <w:spacing w:before="220"/>
        <w:ind w:firstLine="540"/>
        <w:jc w:val="both"/>
      </w:pPr>
      <w:r>
        <w:t>Поэтому определение границ товарного рынка в целях установления доминирующего положения хозяйствующего субъекта и признаков злоупотребления таким положением осуществляется преимущественно в зависимости от конкретных обстоятельств, в том числе связанных с местом совершения предполагаемого нарушения.</w:t>
      </w:r>
    </w:p>
    <w:p w:rsidR="00D10FEA" w:rsidRDefault="00D10FEA">
      <w:pPr>
        <w:pStyle w:val="ConsPlusNormal"/>
        <w:spacing w:before="220"/>
        <w:ind w:firstLine="540"/>
        <w:jc w:val="both"/>
      </w:pPr>
      <w:r>
        <w:t xml:space="preserve">Согласно </w:t>
      </w:r>
      <w:hyperlink r:id="rId26" w:history="1">
        <w:r>
          <w:rPr>
            <w:color w:val="0000FF"/>
          </w:rPr>
          <w:t>части 7 статьи 5</w:t>
        </w:r>
      </w:hyperlink>
      <w:r>
        <w:t xml:space="preserve"> Закона о защите конкуренции не может быть признано доминирующим положение финансовой организации, доля которой не превышает 10% на </w:t>
      </w:r>
      <w:r>
        <w:lastRenderedPageBreak/>
        <w:t>единственном в Российской Федерации товарном рынке или 20% на товарном рынке, обращающийся на котором товар обращается также на иных товарных рынках в Российской Федерации.</w:t>
      </w:r>
    </w:p>
    <w:p w:rsidR="00D10FEA" w:rsidRDefault="00D10FEA">
      <w:pPr>
        <w:pStyle w:val="ConsPlusNormal"/>
        <w:spacing w:before="220"/>
        <w:ind w:firstLine="540"/>
        <w:jc w:val="both"/>
      </w:pPr>
      <w:r>
        <w:t xml:space="preserve">Аналогичные нормы содержатся в </w:t>
      </w:r>
      <w:hyperlink r:id="rId27" w:history="1">
        <w:r>
          <w:rPr>
            <w:color w:val="0000FF"/>
          </w:rPr>
          <w:t>Условиях</w:t>
        </w:r>
      </w:hyperlink>
      <w:r>
        <w:t xml:space="preserve"> признания доминирующим положения кредитной организации и </w:t>
      </w:r>
      <w:hyperlink r:id="rId28" w:history="1">
        <w:r>
          <w:rPr>
            <w:color w:val="0000FF"/>
          </w:rPr>
          <w:t>Правилах</w:t>
        </w:r>
      </w:hyperlink>
      <w:r>
        <w:t xml:space="preserve"> установления доминирующего положения кредитной организации, утвержденных постановлением Правительства Российской Федерации от 26.06.2007 N 409.</w:t>
      </w:r>
    </w:p>
    <w:p w:rsidR="00D10FEA" w:rsidRDefault="00D10FEA">
      <w:pPr>
        <w:pStyle w:val="ConsPlusNormal"/>
        <w:spacing w:before="220"/>
        <w:ind w:firstLine="540"/>
        <w:jc w:val="both"/>
      </w:pPr>
      <w:r>
        <w:t>ФАС России выражает готовность оказать любую методическую поддержку и содействие. По вопросам в части проведения анализа состояния конкуренции на рынках финансовых услуг сотрудники территориальных органов ФАС России могут обращаться в Управление контроля финансовых рынков ФАС России.</w:t>
      </w:r>
    </w:p>
    <w:p w:rsidR="00D10FEA" w:rsidRDefault="00D10FEA">
      <w:pPr>
        <w:pStyle w:val="ConsPlusNormal"/>
        <w:ind w:firstLine="540"/>
        <w:jc w:val="both"/>
      </w:pPr>
    </w:p>
    <w:p w:rsidR="00D10FEA" w:rsidRDefault="00D10FEA">
      <w:pPr>
        <w:pStyle w:val="ConsPlusNormal"/>
        <w:jc w:val="right"/>
      </w:pPr>
      <w:r>
        <w:t>А.Б.КАШЕВАРОВ</w:t>
      </w:r>
    </w:p>
    <w:p w:rsidR="00D10FEA" w:rsidRDefault="00D10FEA">
      <w:pPr>
        <w:pStyle w:val="ConsPlusNormal"/>
        <w:jc w:val="both"/>
      </w:pPr>
    </w:p>
    <w:p w:rsidR="006D212E" w:rsidRDefault="006D212E">
      <w:bookmarkStart w:id="0" w:name="_GoBack"/>
      <w:bookmarkEnd w:id="0"/>
    </w:p>
    <w:sectPr w:rsidR="006D212E" w:rsidSect="00813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EA"/>
    <w:rsid w:val="006D212E"/>
    <w:rsid w:val="00D1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0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F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0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F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9C9335FB36200466C15A046007653322B4D7D2D98BE1396E7A8B1A6DD601F4FC69E298A2686F870AA0588FD55F4FE4A4BB023BEa5y1B" TargetMode="External"/><Relationship Id="rId13" Type="http://schemas.openxmlformats.org/officeDocument/2006/relationships/hyperlink" Target="consultantplus://offline/ref=65D9C9335FB36200466C15A046007653322B4E7F2290BE1396E7A8B1A6DD601F5DC6C6258A2193AD21F05285FDa5yDB" TargetMode="External"/><Relationship Id="rId18" Type="http://schemas.openxmlformats.org/officeDocument/2006/relationships/hyperlink" Target="consultantplus://offline/ref=65D9C9335FB36200466C15A04600765333214B74249FBE1396E7A8B1A6DD601F4FC69E298B208DAC29E504D4B801E7FE4B4BB323A15AC19Ba9y9B" TargetMode="External"/><Relationship Id="rId26" Type="http://schemas.openxmlformats.org/officeDocument/2006/relationships/hyperlink" Target="consultantplus://offline/ref=65D9C9335FB36200466C15A046007653322A4F742290BE1396E7A8B1A6DD601F4FC69E2E8F2186F870AA0588FD55F4FE4A4BB023BEa5y1B" TargetMode="External"/><Relationship Id="rId3" Type="http://schemas.openxmlformats.org/officeDocument/2006/relationships/settings" Target="settings.xml"/><Relationship Id="rId21" Type="http://schemas.openxmlformats.org/officeDocument/2006/relationships/hyperlink" Target="consultantplus://offline/ref=65D9C9335FB36200466C15A046007653322A4F742290BE1396E7A8B1A6DD601F4FC69E2F882686F870AA0588FD55F4FE4A4BB023BEa5y1B" TargetMode="External"/><Relationship Id="rId7" Type="http://schemas.openxmlformats.org/officeDocument/2006/relationships/hyperlink" Target="consultantplus://offline/ref=65D9C9335FB36200466C15A046007653322B4D7D2D98BE1396E7A8B1A6DD601F4FC69E298B208DAE26E504D4B801E7FE4B4BB323A15AC19Ba9y9B" TargetMode="External"/><Relationship Id="rId12" Type="http://schemas.openxmlformats.org/officeDocument/2006/relationships/hyperlink" Target="consultantplus://offline/ref=65D9C9335FB36200466C15A046007653322B4E7F2290BE1396E7A8B1A6DD601F5DC6C6258A2193AD21F05285FDa5yDB" TargetMode="External"/><Relationship Id="rId17" Type="http://schemas.openxmlformats.org/officeDocument/2006/relationships/hyperlink" Target="consultantplus://offline/ref=65D9C9335FB36200466C15A046007653322A4F74229FBE1396E7A8B1A6DD601F4FC69E298B218AAC26E504D4B801E7FE4B4BB323A15AC19Ba9y9B" TargetMode="External"/><Relationship Id="rId25" Type="http://schemas.openxmlformats.org/officeDocument/2006/relationships/hyperlink" Target="consultantplus://offline/ref=65D9C9335FB36200466C15A046007653322A4F742290BE1396E7A8B1A6DD601F4FC69E298B208DA523E504D4B801E7FE4B4BB323A15AC19Ba9y9B" TargetMode="External"/><Relationship Id="rId2" Type="http://schemas.microsoft.com/office/2007/relationships/stylesWithEffects" Target="stylesWithEffects.xml"/><Relationship Id="rId16" Type="http://schemas.openxmlformats.org/officeDocument/2006/relationships/hyperlink" Target="consultantplus://offline/ref=65D9C9335FB36200466C15A046007653322A4F74229FBE1396E7A8B1A6DD601F4FC69E298B218AAC26E504D4B801E7FE4B4BB323A15AC19Ba9y9B" TargetMode="External"/><Relationship Id="rId20" Type="http://schemas.openxmlformats.org/officeDocument/2006/relationships/hyperlink" Target="consultantplus://offline/ref=65D9C9335FB36200466C15A04600765333214B74249FBE1396E7A8B1A6DD601F4FC69E298B208CAE24E504D4B801E7FE4B4BB323A15AC19Ba9y9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D9C9335FB36200466C1CB941007653362B4974219ABE1396E7A8B1A6DD601F4FC69E298B208EAD21E504D4B801E7FE4B4BB323A15AC19Ba9y9B" TargetMode="External"/><Relationship Id="rId11" Type="http://schemas.openxmlformats.org/officeDocument/2006/relationships/hyperlink" Target="consultantplus://offline/ref=65D9C9335FB36200466C15A04600765332284C78249FBE1396E7A8B1A6DD601F4FC69E298B208CAE25E504D4B801E7FE4B4BB323A15AC19Ba9y9B" TargetMode="External"/><Relationship Id="rId24" Type="http://schemas.openxmlformats.org/officeDocument/2006/relationships/hyperlink" Target="consultantplus://offline/ref=65D9C9335FB36200466C15A046007653322A4F742290BE1396E7A8B1A6DD601F4FC69E298B208DA523E504D4B801E7FE4B4BB323A15AC19Ba9y9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5D9C9335FB36200466C15A046007653322A4F74229FBE1396E7A8B1A6DD601F4FC69E2A8F2986F870AA0588FD55F4FE4A4BB023BEa5y1B" TargetMode="External"/><Relationship Id="rId23" Type="http://schemas.openxmlformats.org/officeDocument/2006/relationships/hyperlink" Target="consultantplus://offline/ref=65D9C9335FB36200466C15A046007653322A4F742290BE1396E7A8B1A6DD601F4FC69E298B208DA826E504D4B801E7FE4B4BB323A15AC19Ba9y9B" TargetMode="External"/><Relationship Id="rId28" Type="http://schemas.openxmlformats.org/officeDocument/2006/relationships/hyperlink" Target="consultantplus://offline/ref=65D9C9335FB36200466C15A04600765337214F752593E3199EBEA4B3A1D23F08488F92288B208CA52ABA01C1A959EBFE5454B23DBD58C0a9y3B" TargetMode="External"/><Relationship Id="rId10" Type="http://schemas.openxmlformats.org/officeDocument/2006/relationships/hyperlink" Target="consultantplus://offline/ref=65D9C9335FB36200466C15A046007653322A4D78239BBE1396E7A8B1A6DD601F4FC69E298B208FA925E504D4B801E7FE4B4BB323A15AC19Ba9y9B" TargetMode="External"/><Relationship Id="rId19" Type="http://schemas.openxmlformats.org/officeDocument/2006/relationships/hyperlink" Target="consultantplus://offline/ref=65D9C9335FB36200466C15A04600765333214B74249FBE1396E7A8B1A6DD601F4FC69E298B208DA825E504D4B801E7FE4B4BB323A15AC19Ba9y9B" TargetMode="External"/><Relationship Id="rId4" Type="http://schemas.openxmlformats.org/officeDocument/2006/relationships/webSettings" Target="webSettings.xml"/><Relationship Id="rId9" Type="http://schemas.openxmlformats.org/officeDocument/2006/relationships/hyperlink" Target="consultantplus://offline/ref=65D9C9335FB36200466C15A04600765333214B7D229FBE1396E7A8B1A6DD601F4FC69E298B208DAE27E504D4B801E7FE4B4BB323A15AC19Ba9y9B" TargetMode="External"/><Relationship Id="rId14" Type="http://schemas.openxmlformats.org/officeDocument/2006/relationships/hyperlink" Target="consultantplus://offline/ref=65D9C9335FB36200466C15A046007653322A4F74229FBE1396E7A8B1A6DD601F4FC69E2A8B2386F870AA0588FD55F4FE4A4BB023BEa5y1B" TargetMode="External"/><Relationship Id="rId22" Type="http://schemas.openxmlformats.org/officeDocument/2006/relationships/hyperlink" Target="consultantplus://offline/ref=65D9C9335FB36200466C15A046007653322A4F742290BE1396E7A8B1A6DD601F4FC69E298B208DAF27E504D4B801E7FE4B4BB323A15AC19Ba9y9B" TargetMode="External"/><Relationship Id="rId27" Type="http://schemas.openxmlformats.org/officeDocument/2006/relationships/hyperlink" Target="consultantplus://offline/ref=65D9C9335FB36200466C15A04600765337214F752593E3199EBEA4B3A1D23F08488F92288B208CAC2ABA01C1A959EBFE5454B23DBD58C0a9y3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2019-10-11T01:50:00Z</dcterms:created>
  <dcterms:modified xsi:type="dcterms:W3CDTF">2019-10-11T01:51:00Z</dcterms:modified>
</cp:coreProperties>
</file>