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proofErr w:type="gramEnd"/>
      <w:r w:rsidRPr="001340E6">
        <w:rPr>
          <w:rFonts w:ascii="Times New Roman" w:hAnsi="Times New Roman" w:cs="Times New Roman"/>
          <w:bCs/>
        </w:rPr>
        <w:t>.</w:t>
      </w:r>
      <w:proofErr w:type="gramStart"/>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3C508D">
        <w:rPr>
          <w:rFonts w:ascii="Times New Roman" w:hAnsi="Times New Roman" w:cs="Times New Roman"/>
          <w:bCs/>
          <w:sz w:val="24"/>
        </w:rPr>
        <w:t xml:space="preserve"> (2-908-645)</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Pr="002F6CC1">
        <w:rPr>
          <w:rFonts w:ascii="Times New Roman" w:hAnsi="Times New Roman" w:cs="Times New Roman"/>
          <w:bCs/>
        </w:rPr>
        <w:t xml:space="preserve"> 25 апреля 2018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15 мая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29 мая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3C508D" w:rsidRPr="001128E8">
        <w:rPr>
          <w:rFonts w:ascii="Times New Roman" w:hAnsi="Times New Roman" w:cs="Times New Roman"/>
          <w:b/>
          <w:sz w:val="22"/>
          <w:szCs w:val="22"/>
        </w:rPr>
        <w:t xml:space="preserve">до </w:t>
      </w:r>
      <w:r w:rsidR="003C508D">
        <w:rPr>
          <w:rFonts w:ascii="Times New Roman" w:hAnsi="Times New Roman" w:cs="Times New Roman"/>
          <w:b/>
          <w:sz w:val="22"/>
          <w:szCs w:val="22"/>
        </w:rPr>
        <w:t>0</w:t>
      </w:r>
      <w:r w:rsidR="002F6CC1">
        <w:rPr>
          <w:rFonts w:ascii="Times New Roman" w:hAnsi="Times New Roman" w:cs="Times New Roman"/>
          <w:b/>
          <w:sz w:val="22"/>
          <w:szCs w:val="22"/>
        </w:rPr>
        <w:t>7</w:t>
      </w:r>
      <w:r w:rsidR="003C508D" w:rsidRPr="001128E8">
        <w:rPr>
          <w:rFonts w:ascii="Times New Roman" w:hAnsi="Times New Roman" w:cs="Times New Roman"/>
          <w:b/>
          <w:sz w:val="22"/>
          <w:szCs w:val="22"/>
        </w:rPr>
        <w:t xml:space="preserve"> </w:t>
      </w:r>
      <w:r w:rsidR="003C508D">
        <w:rPr>
          <w:rFonts w:ascii="Times New Roman" w:hAnsi="Times New Roman" w:cs="Times New Roman"/>
          <w:b/>
          <w:sz w:val="22"/>
          <w:szCs w:val="22"/>
        </w:rPr>
        <w:t>ма</w:t>
      </w:r>
      <w:r w:rsidR="002F6CC1">
        <w:rPr>
          <w:rFonts w:ascii="Times New Roman" w:hAnsi="Times New Roman" w:cs="Times New Roman"/>
          <w:b/>
          <w:sz w:val="22"/>
          <w:szCs w:val="22"/>
        </w:rPr>
        <w:t xml:space="preserve">я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18</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Ключи усиленных неквалифицированных электронных подписей должны быть </w:t>
      </w:r>
      <w:proofErr w:type="gramStart"/>
      <w:r w:rsidRPr="00D63BF8">
        <w:rPr>
          <w:rFonts w:ascii="Times New Roman" w:hAnsi="Times New Roman" w:cs="Times New Roman"/>
        </w:rPr>
        <w:t>созданы и выданы</w:t>
      </w:r>
      <w:proofErr w:type="gramEnd"/>
      <w:r w:rsidRPr="00D63BF8">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lastRenderedPageBreak/>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 п/п»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0B" w:rsidRDefault="0089790B" w:rsidP="009E4821">
      <w:pPr>
        <w:spacing w:after="0" w:line="240" w:lineRule="auto"/>
      </w:pPr>
      <w:r>
        <w:separator/>
      </w:r>
    </w:p>
  </w:endnote>
  <w:endnote w:type="continuationSeparator" w:id="0">
    <w:p w:rsidR="0089790B" w:rsidRDefault="0089790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0B" w:rsidRDefault="0089790B" w:rsidP="009E4821">
      <w:pPr>
        <w:spacing w:after="0" w:line="240" w:lineRule="auto"/>
      </w:pPr>
      <w:r>
        <w:separator/>
      </w:r>
    </w:p>
  </w:footnote>
  <w:footnote w:type="continuationSeparator" w:id="0">
    <w:p w:rsidR="0089790B" w:rsidRDefault="0089790B"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046672">
        <w:pPr>
          <w:pStyle w:val="afb"/>
          <w:jc w:val="center"/>
        </w:pPr>
        <w:fldSimple w:instr="PAGE   \* MERGEFORMAT">
          <w:r w:rsidR="002F6CC1">
            <w:rPr>
              <w:noProof/>
            </w:rPr>
            <w:t>18</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7599"/>
    <w:rsid w:val="001C0611"/>
    <w:rsid w:val="001C2535"/>
    <w:rsid w:val="001C319A"/>
    <w:rsid w:val="001E0AA3"/>
    <w:rsid w:val="001E2B29"/>
    <w:rsid w:val="001F4302"/>
    <w:rsid w:val="0020544E"/>
    <w:rsid w:val="00207A81"/>
    <w:rsid w:val="00210641"/>
    <w:rsid w:val="002248E8"/>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B5555"/>
    <w:rsid w:val="003C13F8"/>
    <w:rsid w:val="003C508D"/>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C6579"/>
    <w:rsid w:val="006D6EA4"/>
    <w:rsid w:val="006F430E"/>
    <w:rsid w:val="007070DC"/>
    <w:rsid w:val="00711CEF"/>
    <w:rsid w:val="007171E4"/>
    <w:rsid w:val="00723C4F"/>
    <w:rsid w:val="00723E3D"/>
    <w:rsid w:val="00733D3F"/>
    <w:rsid w:val="007349C1"/>
    <w:rsid w:val="00746221"/>
    <w:rsid w:val="0075224E"/>
    <w:rsid w:val="00756612"/>
    <w:rsid w:val="00770A6F"/>
    <w:rsid w:val="00773C1A"/>
    <w:rsid w:val="00774270"/>
    <w:rsid w:val="0077518C"/>
    <w:rsid w:val="0079132B"/>
    <w:rsid w:val="0079658E"/>
    <w:rsid w:val="007B5E7C"/>
    <w:rsid w:val="007C2C8D"/>
    <w:rsid w:val="007E439A"/>
    <w:rsid w:val="007F16A8"/>
    <w:rsid w:val="00803CE1"/>
    <w:rsid w:val="00814707"/>
    <w:rsid w:val="0082049B"/>
    <w:rsid w:val="00822C56"/>
    <w:rsid w:val="008240B2"/>
    <w:rsid w:val="00831A33"/>
    <w:rsid w:val="00857C24"/>
    <w:rsid w:val="008601A5"/>
    <w:rsid w:val="008709A1"/>
    <w:rsid w:val="00894CC4"/>
    <w:rsid w:val="0089790B"/>
    <w:rsid w:val="008A280F"/>
    <w:rsid w:val="008C1E09"/>
    <w:rsid w:val="008D1543"/>
    <w:rsid w:val="00905414"/>
    <w:rsid w:val="009136B0"/>
    <w:rsid w:val="00916014"/>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52AF1"/>
    <w:rsid w:val="00B55833"/>
    <w:rsid w:val="00B60540"/>
    <w:rsid w:val="00B712A0"/>
    <w:rsid w:val="00B71D6D"/>
    <w:rsid w:val="00B72AE0"/>
    <w:rsid w:val="00B852C0"/>
    <w:rsid w:val="00B8606E"/>
    <w:rsid w:val="00BB3504"/>
    <w:rsid w:val="00BB3956"/>
    <w:rsid w:val="00BB5131"/>
    <w:rsid w:val="00BC039E"/>
    <w:rsid w:val="00BC60ED"/>
    <w:rsid w:val="00BC7661"/>
    <w:rsid w:val="00BD2FA1"/>
    <w:rsid w:val="00BF0EAC"/>
    <w:rsid w:val="00C14015"/>
    <w:rsid w:val="00C21933"/>
    <w:rsid w:val="00C32CD5"/>
    <w:rsid w:val="00C35E9F"/>
    <w:rsid w:val="00C555B0"/>
    <w:rsid w:val="00C63767"/>
    <w:rsid w:val="00C709B4"/>
    <w:rsid w:val="00C77A9D"/>
    <w:rsid w:val="00C838A7"/>
    <w:rsid w:val="00C97715"/>
    <w:rsid w:val="00CA4676"/>
    <w:rsid w:val="00CB2A0F"/>
    <w:rsid w:val="00CD5325"/>
    <w:rsid w:val="00CD5514"/>
    <w:rsid w:val="00CD67D3"/>
    <w:rsid w:val="00CF1C26"/>
    <w:rsid w:val="00CF2B55"/>
    <w:rsid w:val="00CF33E3"/>
    <w:rsid w:val="00D05CE2"/>
    <w:rsid w:val="00D12237"/>
    <w:rsid w:val="00D14A57"/>
    <w:rsid w:val="00D228B9"/>
    <w:rsid w:val="00D36F54"/>
    <w:rsid w:val="00D41BAF"/>
    <w:rsid w:val="00D6150F"/>
    <w:rsid w:val="00D63BF8"/>
    <w:rsid w:val="00D84A1A"/>
    <w:rsid w:val="00D90A50"/>
    <w:rsid w:val="00DA544F"/>
    <w:rsid w:val="00DB5CE1"/>
    <w:rsid w:val="00DD24E1"/>
    <w:rsid w:val="00DD259C"/>
    <w:rsid w:val="00DE0025"/>
    <w:rsid w:val="00DE11E5"/>
    <w:rsid w:val="00E036E8"/>
    <w:rsid w:val="00E06036"/>
    <w:rsid w:val="00E142DC"/>
    <w:rsid w:val="00E27C10"/>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C57A9"/>
    <w:rsid w:val="00EC6524"/>
    <w:rsid w:val="00EE1E26"/>
    <w:rsid w:val="00EE4B09"/>
    <w:rsid w:val="00EF0697"/>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3CD7-9259-415B-A109-0ACB20F9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8828</Words>
  <Characters>50321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2018-02-20T07:45:00Z</cp:lastPrinted>
  <dcterms:created xsi:type="dcterms:W3CDTF">2018-02-19T02:28:00Z</dcterms:created>
  <dcterms:modified xsi:type="dcterms:W3CDTF">2018-04-20T02:41:00Z</dcterms:modified>
</cp:coreProperties>
</file>