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559C1" w:rsidRPr="004900B9">
        <w:rPr>
          <w:rFonts w:ascii="Times New Roman" w:eastAsia="Times New Roman" w:hAnsi="Times New Roman" w:cs="Times New Roman"/>
          <w:b/>
          <w:bCs/>
          <w:color w:val="000000" w:themeColor="text1"/>
          <w:lang w:eastAsia="ru-RU"/>
        </w:rPr>
        <w:t xml:space="preserve">НА </w:t>
      </w:r>
      <w:r w:rsidR="005B528A" w:rsidRPr="004900B9">
        <w:rPr>
          <w:rFonts w:ascii="Times New Roman" w:eastAsia="Times New Roman" w:hAnsi="Times New Roman" w:cs="Times New Roman"/>
          <w:b/>
          <w:bCs/>
          <w:color w:val="000000" w:themeColor="text1"/>
          <w:lang w:eastAsia="ru-RU"/>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5B528A">
        <w:rPr>
          <w:rFonts w:ascii="Times New Roman" w:eastAsia="Times New Roman" w:hAnsi="Times New Roman" w:cs="Times New Roman"/>
          <w:b/>
          <w:bCs/>
          <w:color w:val="000000" w:themeColor="text1"/>
          <w:lang w:eastAsia="ru-RU"/>
        </w:rPr>
        <w:t xml:space="preserve"> </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4E7E4A"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900B9">
        <w:rPr>
          <w:rFonts w:ascii="Times New Roman" w:hAnsi="Times New Roman" w:cs="Times New Roman"/>
        </w:rPr>
        <w:t>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r w:rsidR="00EF3F22" w:rsidRPr="004900B9">
        <w:rPr>
          <w:rFonts w:ascii="Times New Roman" w:hAnsi="Times New Roman" w:cs="Times New Roman"/>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proofErr w:type="gramEnd"/>
      <w:r w:rsidRPr="001340E6">
        <w:rPr>
          <w:rFonts w:ascii="Times New Roman" w:hAnsi="Times New Roman" w:cs="Times New Roman"/>
          <w:bCs/>
        </w:rPr>
        <w:t xml:space="preserve">, а также на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Pr>
          <w:rFonts w:ascii="Times New Roman" w:hAnsi="Times New Roman" w:cs="Times New Roman"/>
          <w:bCs/>
        </w:rPr>
        <w:t>Ленина</w:t>
      </w:r>
      <w:r w:rsidRPr="001340E6">
        <w:rPr>
          <w:rFonts w:ascii="Times New Roman" w:hAnsi="Times New Roman" w:cs="Times New Roman"/>
          <w:bCs/>
        </w:rPr>
        <w:t>, д. 1</w:t>
      </w:r>
      <w:r>
        <w:rPr>
          <w:rFonts w:ascii="Times New Roman" w:hAnsi="Times New Roman" w:cs="Times New Roman"/>
          <w:bCs/>
        </w:rPr>
        <w:t>25</w:t>
      </w:r>
      <w:r w:rsidRPr="001340E6">
        <w:rPr>
          <w:rFonts w:ascii="Times New Roman" w:hAnsi="Times New Roman" w:cs="Times New Roman"/>
          <w:bC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Pr="00331CE5">
          <w:rPr>
            <w:rStyle w:val="a5"/>
            <w:rFonts w:ascii="Times New Roman" w:hAnsi="Times New Roman" w:cs="Times New Roman"/>
            <w:bCs/>
            <w:sz w:val="24"/>
            <w:lang w:val="en-US"/>
          </w:rPr>
          <w:t>pr</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miet</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krskstate</w:t>
        </w:r>
        <w:r w:rsidRPr="00DD39E4">
          <w:rPr>
            <w:rStyle w:val="a5"/>
            <w:rFonts w:ascii="Times New Roman" w:hAnsi="Times New Roman" w:cs="Times New Roman"/>
            <w:bCs/>
            <w:sz w:val="24"/>
            <w:lang w:val="en-US"/>
          </w:rPr>
          <w:t>.</w:t>
        </w:r>
        <w:r w:rsidRPr="00331CE5">
          <w:rPr>
            <w:rStyle w:val="a5"/>
            <w:rFonts w:ascii="Times New Roman" w:hAnsi="Times New Roman" w:cs="Times New Roman"/>
            <w:bCs/>
            <w:sz w:val="24"/>
            <w:lang w:val="en-US"/>
          </w:rPr>
          <w:t>ru</w:t>
        </w:r>
      </w:hyperlink>
      <w:r>
        <w:rPr>
          <w:rFonts w:ascii="Times New Roman" w:hAnsi="Times New Roman" w:cs="Times New Roman"/>
          <w:bCs/>
          <w:sz w:val="24"/>
          <w:lang w:val="en-US"/>
        </w:rPr>
        <w:t xml:space="preserve"> </w:t>
      </w:r>
      <w:r w:rsidRPr="00A22DC4">
        <w:rPr>
          <w:rFonts w:ascii="Times New Roman" w:hAnsi="Times New Roman" w:cs="Times New Roman"/>
          <w:bCs/>
          <w:sz w:val="24"/>
          <w:lang w:val="en-US"/>
        </w:rPr>
        <w:t>(</w:t>
      </w:r>
      <w:r w:rsidR="00684EE0">
        <w:rPr>
          <w:rFonts w:ascii="Times New Roman" w:hAnsi="Times New Roman" w:cs="Times New Roman"/>
          <w:bCs/>
          <w:sz w:val="24"/>
          <w:lang w:val="en-US"/>
        </w:rPr>
        <w:t>zimin@gkh.krsn.ru</w:t>
      </w:r>
      <w:r>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(2-908-640</w:t>
      </w:r>
      <w:r w:rsidRPr="00722C38">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F4025A">
        <w:rPr>
          <w:rFonts w:ascii="Times New Roman" w:hAnsi="Times New Roman" w:cs="Times New Roman"/>
          <w:bCs/>
        </w:rPr>
        <w:t>29</w:t>
      </w:r>
      <w:r>
        <w:rPr>
          <w:rFonts w:ascii="Times New Roman" w:hAnsi="Times New Roman" w:cs="Times New Roman"/>
          <w:bCs/>
        </w:rPr>
        <w:t xml:space="preserve"> </w:t>
      </w:r>
      <w:r w:rsidR="00F4025A">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217229">
        <w:rPr>
          <w:rFonts w:ascii="Times New Roman" w:hAnsi="Times New Roman" w:cs="Times New Roman"/>
          <w:bCs/>
        </w:rPr>
        <w:t xml:space="preserve"> 19</w:t>
      </w:r>
      <w:r>
        <w:rPr>
          <w:rFonts w:ascii="Times New Roman" w:hAnsi="Times New Roman" w:cs="Times New Roman"/>
          <w:bCs/>
        </w:rPr>
        <w:t xml:space="preserve"> </w:t>
      </w:r>
      <w:r w:rsidR="00F4025A">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217229">
        <w:rPr>
          <w:rFonts w:ascii="Times New Roman" w:hAnsi="Times New Roman" w:cs="Times New Roman"/>
          <w:bCs/>
        </w:rPr>
        <w:t xml:space="preserve"> 2</w:t>
      </w:r>
      <w:r>
        <w:rPr>
          <w:rFonts w:ascii="Times New Roman" w:hAnsi="Times New Roman" w:cs="Times New Roman"/>
          <w:bCs/>
        </w:rPr>
        <w:t xml:space="preserve"> </w:t>
      </w:r>
      <w:r w:rsidR="00F4025A">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7D405F">
        <w:rPr>
          <w:rFonts w:ascii="Times New Roman" w:hAnsi="Times New Roman" w:cs="Times New Roman"/>
          <w:b/>
          <w:sz w:val="22"/>
          <w:szCs w:val="22"/>
        </w:rPr>
        <w:t>11</w:t>
      </w:r>
      <w:r w:rsidR="00722C38" w:rsidRPr="001128E8">
        <w:rPr>
          <w:rFonts w:ascii="Times New Roman" w:hAnsi="Times New Roman" w:cs="Times New Roman"/>
          <w:b/>
          <w:sz w:val="22"/>
          <w:szCs w:val="22"/>
        </w:rPr>
        <w:t xml:space="preserve"> </w:t>
      </w:r>
      <w:r w:rsidR="007D405F">
        <w:rPr>
          <w:rFonts w:ascii="Times New Roman" w:hAnsi="Times New Roman" w:cs="Times New Roman"/>
          <w:b/>
          <w:sz w:val="22"/>
          <w:szCs w:val="22"/>
        </w:rPr>
        <w:t>июля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18</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w:t>
      </w:r>
      <w:proofErr w:type="gramStart"/>
      <w:r w:rsidRPr="001340E6">
        <w:rPr>
          <w:rFonts w:ascii="Times New Roman" w:hAnsi="Times New Roman" w:cs="Times New Roman"/>
          <w:sz w:val="22"/>
          <w:szCs w:val="22"/>
        </w:rPr>
        <w:t>принимаются оператором электронной площадки и возвращаются</w:t>
      </w:r>
      <w:proofErr w:type="gramEnd"/>
      <w:r w:rsidRPr="001340E6">
        <w:rPr>
          <w:rFonts w:ascii="Times New Roman" w:hAnsi="Times New Roman" w:cs="Times New Roman"/>
          <w:sz w:val="22"/>
          <w:szCs w:val="22"/>
        </w:rPr>
        <w:t xml:space="preserve">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sz w:val="22"/>
          <w:szCs w:val="22"/>
        </w:rPr>
        <w:t>созданы и выданы</w:t>
      </w:r>
      <w:proofErr w:type="gramEnd"/>
      <w:r w:rsidRPr="001340E6">
        <w:rPr>
          <w:rFonts w:ascii="Times New Roman" w:hAnsi="Times New Roman" w:cs="Times New Roman"/>
          <w:sz w:val="22"/>
          <w:szCs w:val="22"/>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w:t>
      </w:r>
      <w:proofErr w:type="gramStart"/>
      <w:r w:rsidRPr="004900B9">
        <w:rPr>
          <w:rFonts w:ascii="Times New Roman" w:hAnsi="Times New Roman" w:cs="Times New Roman"/>
          <w:sz w:val="22"/>
          <w:szCs w:val="22"/>
        </w:rPr>
        <w:t>случае</w:t>
      </w:r>
      <w:proofErr w:type="gramEnd"/>
      <w:r w:rsidRPr="004900B9">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w:t>
      </w:r>
      <w:proofErr w:type="gramStart"/>
      <w:r w:rsidRPr="004900B9">
        <w:rPr>
          <w:rFonts w:ascii="Times New Roman" w:eastAsiaTheme="minorEastAsia" w:hAnsi="Times New Roman" w:cs="Times New Roman"/>
          <w:lang w:eastAsia="ru-RU"/>
        </w:rPr>
        <w:t>сформированный</w:t>
      </w:r>
      <w:proofErr w:type="gramEnd"/>
      <w:r w:rsidRPr="004900B9">
        <w:rPr>
          <w:rFonts w:ascii="Times New Roman" w:eastAsiaTheme="minorEastAsia" w:hAnsi="Times New Roman" w:cs="Times New Roman"/>
          <w:lang w:eastAsia="ru-RU"/>
        </w:rPr>
        <w:t xml:space="preserve">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 п/п»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1.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образования </w:t>
      </w:r>
      <w:proofErr w:type="gramStart"/>
      <w:r w:rsidRPr="00672BC7">
        <w:rPr>
          <w:rFonts w:ascii="Times New Roman" w:eastAsiaTheme="minorHAnsi" w:hAnsi="Times New Roman" w:cs="Times New Roman"/>
          <w:sz w:val="22"/>
          <w:szCs w:val="22"/>
          <w:lang w:eastAsia="en-US"/>
        </w:rPr>
        <w:t>определенных</w:t>
      </w:r>
      <w:proofErr w:type="gramEnd"/>
      <w:r w:rsidRPr="00672BC7">
        <w:rPr>
          <w:rFonts w:ascii="Times New Roman" w:eastAsiaTheme="minorHAnsi" w:hAnsi="Times New Roman" w:cs="Times New Roman"/>
          <w:sz w:val="22"/>
          <w:szCs w:val="22"/>
          <w:lang w:eastAsia="en-US"/>
        </w:rPr>
        <w:t xml:space="preserve"> уровня и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2. наличи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определенного стажа работы по специальности: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общий трудовой стаж по специальности не менее 10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стаж на инженерных</w:t>
      </w:r>
      <w:r w:rsidR="00991F69" w:rsidRPr="00672BC7">
        <w:rPr>
          <w:rFonts w:ascii="Times New Roman" w:eastAsiaTheme="minorHAnsi" w:hAnsi="Times New Roman" w:cs="Times New Roman"/>
          <w:sz w:val="22"/>
          <w:szCs w:val="22"/>
          <w:lang w:eastAsia="en-US"/>
        </w:rPr>
        <w:t xml:space="preserve"> и архитектурных </w:t>
      </w:r>
      <w:r w:rsidRPr="00672BC7">
        <w:rPr>
          <w:rFonts w:ascii="Times New Roman" w:eastAsiaTheme="minorHAnsi" w:hAnsi="Times New Roman" w:cs="Times New Roman"/>
          <w:sz w:val="22"/>
          <w:szCs w:val="22"/>
          <w:lang w:eastAsia="en-US"/>
        </w:rPr>
        <w:t>должностях не менее 3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3. повышени</w:t>
      </w:r>
      <w:r w:rsidR="00C3089B" w:rsidRPr="00672BC7">
        <w:rPr>
          <w:rFonts w:ascii="Times New Roman" w:eastAsiaTheme="minorHAnsi" w:hAnsi="Times New Roman" w:cs="Times New Roman"/>
          <w:sz w:val="22"/>
          <w:szCs w:val="22"/>
          <w:lang w:eastAsia="en-US"/>
        </w:rPr>
        <w:t>е</w:t>
      </w:r>
      <w:r w:rsidRPr="00672BC7">
        <w:rPr>
          <w:rFonts w:ascii="Times New Roman" w:eastAsiaTheme="minorHAnsi" w:hAnsi="Times New Roman" w:cs="Times New Roman"/>
          <w:sz w:val="22"/>
          <w:szCs w:val="22"/>
          <w:lang w:eastAsia="en-US"/>
        </w:rPr>
        <w:t xml:space="preserve"> квалификации, аттестации, профессиональной переподготовк</w:t>
      </w:r>
      <w:r w:rsidR="00C3089B" w:rsidRPr="00672BC7">
        <w:rPr>
          <w:rFonts w:ascii="Times New Roman" w:eastAsiaTheme="minorHAnsi" w:hAnsi="Times New Roman" w:cs="Times New Roman"/>
          <w:sz w:val="22"/>
          <w:szCs w:val="22"/>
          <w:lang w:eastAsia="en-US"/>
        </w:rPr>
        <w:t>и</w:t>
      </w:r>
      <w:r w:rsidRPr="00672BC7">
        <w:rPr>
          <w:rFonts w:ascii="Times New Roman" w:eastAsiaTheme="minorHAnsi" w:hAnsi="Times New Roman" w:cs="Times New Roman"/>
          <w:sz w:val="22"/>
          <w:szCs w:val="22"/>
          <w:lang w:eastAsia="en-US"/>
        </w:rPr>
        <w:t xml:space="preserve"> работников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а) повышение квалификации не реже чем 1 раз в 5 лет;</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б) прохождение аттестации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в) прохождение обучения, подтверждающееся удостоверением, не реже чем 1 раз в 5 лет; </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г) прохождение профессиональной переподготовки по мере необходимости.</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4. численност</w:t>
      </w:r>
      <w:r w:rsidR="00C3089B" w:rsidRPr="00672BC7">
        <w:rPr>
          <w:rFonts w:ascii="Times New Roman" w:eastAsiaTheme="minorHAnsi" w:hAnsi="Times New Roman" w:cs="Times New Roman"/>
          <w:sz w:val="22"/>
          <w:szCs w:val="22"/>
          <w:lang w:eastAsia="en-US"/>
        </w:rPr>
        <w:t>ь</w:t>
      </w:r>
      <w:r w:rsidRPr="00672BC7">
        <w:rPr>
          <w:rFonts w:ascii="Times New Roman" w:eastAsiaTheme="minorHAnsi" w:hAnsi="Times New Roman" w:cs="Times New Roman"/>
          <w:sz w:val="22"/>
          <w:szCs w:val="22"/>
          <w:lang w:eastAsia="en-US"/>
        </w:rPr>
        <w:t xml:space="preserve"> для индивидуального предпринимателя, юридического лица:</w:t>
      </w:r>
    </w:p>
    <w:p w:rsidR="004C21D4" w:rsidRPr="00672BC7" w:rsidRDefault="004C21D4" w:rsidP="004C21D4">
      <w:pPr>
        <w:pStyle w:val="ConsPlusNormal"/>
        <w:ind w:firstLine="567"/>
        <w:jc w:val="both"/>
        <w:rPr>
          <w:rFonts w:ascii="Times New Roman" w:eastAsiaTheme="minorHAnsi" w:hAnsi="Times New Roman" w:cs="Times New Roman"/>
          <w:sz w:val="22"/>
          <w:szCs w:val="22"/>
          <w:lang w:eastAsia="en-US"/>
        </w:rPr>
      </w:pPr>
      <w:r w:rsidRPr="00672BC7">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4C21D4" w:rsidRPr="00131125" w:rsidRDefault="004C21D4" w:rsidP="004C21D4">
      <w:pPr>
        <w:pStyle w:val="af8"/>
        <w:ind w:firstLine="426"/>
        <w:jc w:val="both"/>
        <w:rPr>
          <w:rFonts w:ascii="Times New Roman" w:hAnsi="Times New Roman" w:cs="Times New Roman"/>
        </w:rPr>
      </w:pPr>
      <w:r w:rsidRPr="00672BC7">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CE" w:rsidRDefault="009258CE" w:rsidP="009E4821">
      <w:pPr>
        <w:spacing w:after="0" w:line="240" w:lineRule="auto"/>
      </w:pPr>
      <w:r>
        <w:separator/>
      </w:r>
    </w:p>
  </w:endnote>
  <w:endnote w:type="continuationSeparator" w:id="0">
    <w:p w:rsidR="009258CE" w:rsidRDefault="009258C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CE" w:rsidRDefault="009258CE" w:rsidP="009E4821">
      <w:pPr>
        <w:spacing w:after="0" w:line="240" w:lineRule="auto"/>
      </w:pPr>
      <w:r>
        <w:separator/>
      </w:r>
    </w:p>
  </w:footnote>
  <w:footnote w:type="continuationSeparator" w:id="0">
    <w:p w:rsidR="009258CE" w:rsidRDefault="009258CE" w:rsidP="009E4821">
      <w:pPr>
        <w:spacing w:after="0" w:line="240" w:lineRule="auto"/>
      </w:pPr>
      <w:r>
        <w:continuationSeparator/>
      </w:r>
    </w:p>
  </w:footnote>
  <w:footnote w:id="1">
    <w:p w:rsidR="00722C38" w:rsidRPr="00A74CA9" w:rsidRDefault="00722C38"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722C38" w:rsidRPr="00A74CA9" w:rsidRDefault="00722C38"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722C38" w:rsidRPr="00A74CA9" w:rsidRDefault="00722C38"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722C38" w:rsidRDefault="0096325B">
        <w:pPr>
          <w:pStyle w:val="afa"/>
          <w:jc w:val="center"/>
        </w:pPr>
        <w:fldSimple w:instr="PAGE   \* MERGEFORMAT">
          <w:r w:rsidR="00217229">
            <w:rPr>
              <w:noProof/>
            </w:rPr>
            <w:t>2</w:t>
          </w:r>
        </w:fldSimple>
      </w:p>
    </w:sdtContent>
  </w:sdt>
  <w:p w:rsidR="00722C38" w:rsidRDefault="00722C3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56BD5"/>
    <w:rsid w:val="000617D2"/>
    <w:rsid w:val="00094B42"/>
    <w:rsid w:val="00096F3D"/>
    <w:rsid w:val="000A198B"/>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A2E7A"/>
    <w:rsid w:val="001A593F"/>
    <w:rsid w:val="001B7599"/>
    <w:rsid w:val="001C2535"/>
    <w:rsid w:val="001C2D59"/>
    <w:rsid w:val="001D2B84"/>
    <w:rsid w:val="001E0AA3"/>
    <w:rsid w:val="001E2B29"/>
    <w:rsid w:val="001F4302"/>
    <w:rsid w:val="00203551"/>
    <w:rsid w:val="0020544E"/>
    <w:rsid w:val="002076E4"/>
    <w:rsid w:val="00207A81"/>
    <w:rsid w:val="00210641"/>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22680"/>
    <w:rsid w:val="003250E6"/>
    <w:rsid w:val="0034127A"/>
    <w:rsid w:val="00347876"/>
    <w:rsid w:val="003629C7"/>
    <w:rsid w:val="003716B7"/>
    <w:rsid w:val="0037604D"/>
    <w:rsid w:val="003803CD"/>
    <w:rsid w:val="00384362"/>
    <w:rsid w:val="00384E3A"/>
    <w:rsid w:val="0038742A"/>
    <w:rsid w:val="003A4557"/>
    <w:rsid w:val="003A4E26"/>
    <w:rsid w:val="003B40CC"/>
    <w:rsid w:val="003B5555"/>
    <w:rsid w:val="003C292B"/>
    <w:rsid w:val="003C53CE"/>
    <w:rsid w:val="003C67F8"/>
    <w:rsid w:val="003D6C67"/>
    <w:rsid w:val="003E4B4C"/>
    <w:rsid w:val="003F73FA"/>
    <w:rsid w:val="00414ADF"/>
    <w:rsid w:val="00423B22"/>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900B9"/>
    <w:rsid w:val="004907C1"/>
    <w:rsid w:val="00493503"/>
    <w:rsid w:val="00497142"/>
    <w:rsid w:val="004A479F"/>
    <w:rsid w:val="004A4A46"/>
    <w:rsid w:val="004B4AC1"/>
    <w:rsid w:val="004B4ED0"/>
    <w:rsid w:val="004C21D4"/>
    <w:rsid w:val="004C22B0"/>
    <w:rsid w:val="004D1814"/>
    <w:rsid w:val="004E2236"/>
    <w:rsid w:val="004E7E4A"/>
    <w:rsid w:val="004F0238"/>
    <w:rsid w:val="004F1A64"/>
    <w:rsid w:val="004F3A78"/>
    <w:rsid w:val="004F438A"/>
    <w:rsid w:val="0050341B"/>
    <w:rsid w:val="00510680"/>
    <w:rsid w:val="00512181"/>
    <w:rsid w:val="00517CB0"/>
    <w:rsid w:val="00523365"/>
    <w:rsid w:val="005244BA"/>
    <w:rsid w:val="00525527"/>
    <w:rsid w:val="00530D85"/>
    <w:rsid w:val="00536F47"/>
    <w:rsid w:val="00540B28"/>
    <w:rsid w:val="0054726B"/>
    <w:rsid w:val="005520A8"/>
    <w:rsid w:val="005544BC"/>
    <w:rsid w:val="00555F5F"/>
    <w:rsid w:val="005574C4"/>
    <w:rsid w:val="0056384B"/>
    <w:rsid w:val="00565956"/>
    <w:rsid w:val="00571664"/>
    <w:rsid w:val="00596D07"/>
    <w:rsid w:val="005A31BB"/>
    <w:rsid w:val="005B528A"/>
    <w:rsid w:val="005F0B2E"/>
    <w:rsid w:val="005F2F03"/>
    <w:rsid w:val="006009FF"/>
    <w:rsid w:val="00604099"/>
    <w:rsid w:val="00621DD0"/>
    <w:rsid w:val="00624D7F"/>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3C1A"/>
    <w:rsid w:val="0077518C"/>
    <w:rsid w:val="00780853"/>
    <w:rsid w:val="0079132B"/>
    <w:rsid w:val="007A2EB6"/>
    <w:rsid w:val="007C2C8D"/>
    <w:rsid w:val="007D405F"/>
    <w:rsid w:val="007E2C1F"/>
    <w:rsid w:val="007E3385"/>
    <w:rsid w:val="007E439A"/>
    <w:rsid w:val="007F13C8"/>
    <w:rsid w:val="007F16A8"/>
    <w:rsid w:val="00814707"/>
    <w:rsid w:val="00822C56"/>
    <w:rsid w:val="008240B2"/>
    <w:rsid w:val="00833DFF"/>
    <w:rsid w:val="00857C24"/>
    <w:rsid w:val="008709A1"/>
    <w:rsid w:val="00894CC4"/>
    <w:rsid w:val="008A3226"/>
    <w:rsid w:val="008B4F5B"/>
    <w:rsid w:val="008C66FD"/>
    <w:rsid w:val="008D1543"/>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C09CF"/>
    <w:rsid w:val="009C25BF"/>
    <w:rsid w:val="009D37DB"/>
    <w:rsid w:val="009D45F3"/>
    <w:rsid w:val="009E4821"/>
    <w:rsid w:val="009F6928"/>
    <w:rsid w:val="009F6C5C"/>
    <w:rsid w:val="009F7F2A"/>
    <w:rsid w:val="00A0443B"/>
    <w:rsid w:val="00A0736C"/>
    <w:rsid w:val="00A157B9"/>
    <w:rsid w:val="00A2248D"/>
    <w:rsid w:val="00A320B4"/>
    <w:rsid w:val="00A3382A"/>
    <w:rsid w:val="00A40009"/>
    <w:rsid w:val="00A44538"/>
    <w:rsid w:val="00A5159F"/>
    <w:rsid w:val="00A52149"/>
    <w:rsid w:val="00A53AD1"/>
    <w:rsid w:val="00A56793"/>
    <w:rsid w:val="00A6380D"/>
    <w:rsid w:val="00A72DCA"/>
    <w:rsid w:val="00A85623"/>
    <w:rsid w:val="00A95238"/>
    <w:rsid w:val="00AA4726"/>
    <w:rsid w:val="00AC6BFE"/>
    <w:rsid w:val="00AE01A8"/>
    <w:rsid w:val="00AE1A7F"/>
    <w:rsid w:val="00AE2F16"/>
    <w:rsid w:val="00AE4018"/>
    <w:rsid w:val="00AE4745"/>
    <w:rsid w:val="00AE7D4F"/>
    <w:rsid w:val="00AF12E9"/>
    <w:rsid w:val="00AF4E9A"/>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E42"/>
    <w:rsid w:val="00BF0EAC"/>
    <w:rsid w:val="00BF271D"/>
    <w:rsid w:val="00C00364"/>
    <w:rsid w:val="00C01295"/>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59C1"/>
    <w:rsid w:val="00D659BB"/>
    <w:rsid w:val="00D744A2"/>
    <w:rsid w:val="00D84529"/>
    <w:rsid w:val="00D84A1A"/>
    <w:rsid w:val="00D90A50"/>
    <w:rsid w:val="00DA5F05"/>
    <w:rsid w:val="00DB5CE1"/>
    <w:rsid w:val="00DD24E1"/>
    <w:rsid w:val="00DE0025"/>
    <w:rsid w:val="00DE11E5"/>
    <w:rsid w:val="00DE1DD9"/>
    <w:rsid w:val="00E142DC"/>
    <w:rsid w:val="00E26DF7"/>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E1E26"/>
    <w:rsid w:val="00EE4401"/>
    <w:rsid w:val="00EE4B09"/>
    <w:rsid w:val="00EF0697"/>
    <w:rsid w:val="00EF3B3E"/>
    <w:rsid w:val="00EF3F22"/>
    <w:rsid w:val="00F025B9"/>
    <w:rsid w:val="00F05926"/>
    <w:rsid w:val="00F2121C"/>
    <w:rsid w:val="00F302D1"/>
    <w:rsid w:val="00F4025A"/>
    <w:rsid w:val="00F476DD"/>
    <w:rsid w:val="00F561B1"/>
    <w:rsid w:val="00F5660B"/>
    <w:rsid w:val="00F62B79"/>
    <w:rsid w:val="00F64B45"/>
    <w:rsid w:val="00F71DDA"/>
    <w:rsid w:val="00F725BC"/>
    <w:rsid w:val="00F84753"/>
    <w:rsid w:val="00F91B32"/>
    <w:rsid w:val="00FA5C7C"/>
    <w:rsid w:val="00FB3957"/>
    <w:rsid w:val="00FC5A61"/>
    <w:rsid w:val="00FC6DE3"/>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A197-CECD-4D1E-90FC-D99C7BDB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8609</Words>
  <Characters>49074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8</cp:revision>
  <cp:lastPrinted>2018-02-20T07:46:00Z</cp:lastPrinted>
  <dcterms:created xsi:type="dcterms:W3CDTF">2018-02-19T02:26:00Z</dcterms:created>
  <dcterms:modified xsi:type="dcterms:W3CDTF">2018-06-28T04:25:00Z</dcterms:modified>
</cp:coreProperties>
</file>