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72" w:rsidRPr="00AD099E" w:rsidRDefault="00701672" w:rsidP="00701672">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5</w:t>
      </w:r>
    </w:p>
    <w:p w:rsidR="00701672" w:rsidRPr="00AD099E" w:rsidRDefault="00701672" w:rsidP="00701672">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4146BE">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701672" w:rsidRDefault="00701672" w:rsidP="00701672">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311F3B" w:rsidRPr="00AD099E" w:rsidRDefault="00311F3B" w:rsidP="00311F3B">
      <w:pPr>
        <w:autoSpaceDE w:val="0"/>
        <w:autoSpaceDN w:val="0"/>
        <w:adjustRightInd w:val="0"/>
        <w:ind w:left="5387"/>
        <w:rPr>
          <w:rFonts w:ascii="Times New Roman" w:hAnsi="Times New Roman" w:cs="Times New Roman"/>
        </w:rPr>
      </w:pPr>
    </w:p>
    <w:p w:rsidR="00311F3B" w:rsidRDefault="00311F3B" w:rsidP="00311F3B">
      <w:pPr>
        <w:spacing w:after="0" w:line="240" w:lineRule="auto"/>
        <w:jc w:val="center"/>
        <w:rPr>
          <w:rFonts w:ascii="Times New Roman" w:eastAsia="Times New Roman" w:hAnsi="Times New Roman" w:cs="Times New Roman"/>
          <w:b/>
          <w:bCs/>
          <w:lang w:eastAsia="ru-RU"/>
        </w:rPr>
      </w:pPr>
      <w:r w:rsidRPr="00AD099E">
        <w:rPr>
          <w:rFonts w:ascii="Times New Roman" w:hAnsi="Times New Roman" w:cs="Times New Roman"/>
          <w:b/>
        </w:rPr>
        <w:t xml:space="preserve">ДОКУМЕНТАЦИЯ О ПРОВЕДЕНИИ ПРЕДВАРИТЕЛЬНОГО ОТБОРА ПОДРЯДНЫХ ОРГАНИЗАЦИЙ </w:t>
      </w:r>
      <w:r w:rsidRPr="00AD099E">
        <w:rPr>
          <w:rFonts w:ascii="Times New Roman" w:eastAsia="Times New Roman" w:hAnsi="Times New Roman" w:cs="Times New Roman"/>
          <w:b/>
          <w:bCs/>
          <w:lang w:eastAsia="ru-RU"/>
        </w:rPr>
        <w:t>НА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p>
    <w:p w:rsidR="00057F71" w:rsidRDefault="00057F71" w:rsidP="00057F71">
      <w:pPr>
        <w:spacing w:after="0" w:line="240" w:lineRule="auto"/>
        <w:ind w:firstLine="851"/>
        <w:jc w:val="both"/>
        <w:rPr>
          <w:rFonts w:ascii="Times New Roman" w:hAnsi="Times New Roman" w:cs="Times New Roman"/>
          <w:color w:val="000000" w:themeColor="text1"/>
        </w:rPr>
      </w:pPr>
    </w:p>
    <w:p w:rsidR="0079019E" w:rsidRPr="001340E6" w:rsidRDefault="0079019E"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057F71" w:rsidRDefault="004B1899"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00614B40" w:rsidRPr="00AD099E">
        <w:rPr>
          <w:rFonts w:ascii="Times New Roman" w:hAnsi="Times New Roman" w:cs="Times New Roman"/>
          <w:bCs/>
          <w:color w:val="000000" w:themeColor="text1"/>
        </w:rPr>
        <w:t>на в</w:t>
      </w:r>
      <w:r w:rsidR="00614B40"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lastRenderedPageBreak/>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w:t>
      </w:r>
      <w:r w:rsidR="00963CF7" w:rsidRPr="001340E6">
        <w:rPr>
          <w:rFonts w:ascii="Times New Roman" w:hAnsi="Times New Roman" w:cs="Times New Roman"/>
          <w:sz w:val="22"/>
          <w:szCs w:val="22"/>
        </w:rPr>
        <w:t>,</w:t>
      </w:r>
      <w:r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в отношении многоквартирных домов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9B00D2">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9B00D2">
        <w:rPr>
          <w:rFonts w:ascii="Times New Roman" w:hAnsi="Times New Roman" w:cs="Times New Roman"/>
          <w:sz w:val="22"/>
          <w:szCs w:val="22"/>
        </w:rPr>
        <w:t>п</w:t>
      </w:r>
      <w:r w:rsidR="00963CF7" w:rsidRPr="001340E6">
        <w:rPr>
          <w:rFonts w:ascii="Times New Roman" w:hAnsi="Times New Roman" w:cs="Times New Roman"/>
          <w:sz w:val="22"/>
          <w:szCs w:val="22"/>
        </w:rPr>
        <w:t>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3926AE" w:rsidRPr="001340E6">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proofErr w:type="spellStart"/>
      <w:r w:rsidR="00963CF7" w:rsidRPr="001340E6">
        <w:rPr>
          <w:rFonts w:ascii="Times New Roman" w:hAnsi="Times New Roman" w:cs="Times New Roman"/>
          <w:bCs/>
          <w:sz w:val="22"/>
          <w:szCs w:val="22"/>
          <w:lang w:val="en-US"/>
        </w:rPr>
        <w:t>gkh</w:t>
      </w:r>
      <w:proofErr w:type="spellEnd"/>
      <w:r w:rsidR="00963CF7" w:rsidRPr="001340E6">
        <w:rPr>
          <w:rFonts w:ascii="Times New Roman" w:hAnsi="Times New Roman" w:cs="Times New Roman"/>
          <w:bCs/>
          <w:sz w:val="22"/>
          <w:szCs w:val="22"/>
        </w:rPr>
        <w:t>24.</w:t>
      </w:r>
      <w:proofErr w:type="spellStart"/>
      <w:r w:rsidR="00963CF7" w:rsidRPr="001340E6">
        <w:rPr>
          <w:rFonts w:ascii="Times New Roman" w:hAnsi="Times New Roman" w:cs="Times New Roman"/>
          <w:bCs/>
          <w:sz w:val="22"/>
          <w:szCs w:val="22"/>
          <w:lang w:val="en-US"/>
        </w:rPr>
        <w:t>ru</w:t>
      </w:r>
      <w:proofErr w:type="spellEnd"/>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proofErr w:type="gramStart"/>
      <w:r w:rsidRPr="001340E6">
        <w:rPr>
          <w:rFonts w:ascii="Times New Roman" w:hAnsi="Times New Roman" w:cs="Times New Roman"/>
          <w:bCs/>
        </w:rPr>
        <w:t>Заводская</w:t>
      </w:r>
      <w:proofErr w:type="gramEnd"/>
      <w:r w:rsidRPr="001340E6">
        <w:rPr>
          <w:rFonts w:ascii="Times New Roman" w:hAnsi="Times New Roman" w:cs="Times New Roman"/>
          <w:bCs/>
        </w:rPr>
        <w:t xml:space="preserve">, д. 14  </w:t>
      </w:r>
    </w:p>
    <w:p w:rsidR="00884D4C" w:rsidRPr="000158A3" w:rsidRDefault="00884D4C" w:rsidP="00884D4C">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884D4C" w:rsidRPr="0054376D" w:rsidRDefault="00884D4C" w:rsidP="00884D4C">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54376D">
        <w:rPr>
          <w:rFonts w:ascii="Times New Roman" w:eastAsia="Times New Roman" w:hAnsi="Times New Roman" w:cs="Times New Roman"/>
          <w:lang w:eastAsia="ru-RU"/>
        </w:rPr>
        <w:t>: 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1398C" w:rsidRPr="0031398C">
        <w:rPr>
          <w:rFonts w:ascii="Times New Roman" w:hAnsi="Times New Roman" w:cs="Times New Roman"/>
          <w:bCs/>
        </w:rPr>
        <w:t>а</w:t>
      </w:r>
      <w:r w:rsidR="003C1A43"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3C1A43" w:rsidRPr="001340E6">
        <w:rPr>
          <w:rFonts w:ascii="Times New Roman" w:hAnsi="Times New Roman" w:cs="Times New Roman"/>
          <w:bCs/>
          <w:noProof/>
          <w:color w:val="000000"/>
        </w:rPr>
        <w:t>http://www1.etp-micex.ru/</w:t>
      </w:r>
      <w:r w:rsidRPr="001340E6">
        <w:rPr>
          <w:rFonts w:ascii="Times New Roman" w:hAnsi="Times New Roman" w:cs="Times New Roman"/>
          <w:b/>
          <w:bCs/>
        </w:rPr>
        <w:t>.</w:t>
      </w:r>
    </w:p>
    <w:p w:rsidR="00057F71" w:rsidRPr="001340E6" w:rsidRDefault="00057F71" w:rsidP="00057F71">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B41CE8">
        <w:rPr>
          <w:rFonts w:ascii="Times New Roman" w:hAnsi="Times New Roman" w:cs="Times New Roman"/>
          <w:b/>
          <w:bCs/>
        </w:rPr>
        <w:t>т</w:t>
      </w:r>
      <w:bookmarkStart w:id="0" w:name="_GoBack"/>
      <w:bookmarkEnd w:id="0"/>
      <w:r w:rsidRPr="001340E6">
        <w:rPr>
          <w:rFonts w:ascii="Times New Roman" w:hAnsi="Times New Roman" w:cs="Times New Roman"/>
          <w:b/>
          <w:bCs/>
        </w:rPr>
        <w:t xml:space="preserve">боре (далее – Заявка): </w:t>
      </w:r>
      <w:r w:rsidR="002421FB" w:rsidRPr="002421FB">
        <w:rPr>
          <w:rFonts w:ascii="Times New Roman" w:hAnsi="Times New Roman" w:cs="Times New Roman"/>
          <w:bCs/>
        </w:rPr>
        <w:t>24</w:t>
      </w:r>
      <w:r w:rsidRPr="001340E6">
        <w:rPr>
          <w:rFonts w:ascii="Times New Roman" w:hAnsi="Times New Roman" w:cs="Times New Roman"/>
          <w:bCs/>
        </w:rPr>
        <w:t xml:space="preserve"> </w:t>
      </w:r>
      <w:r w:rsidR="002421FB">
        <w:rPr>
          <w:rFonts w:ascii="Times New Roman" w:hAnsi="Times New Roman" w:cs="Times New Roman"/>
          <w:bCs/>
        </w:rPr>
        <w:t>н</w:t>
      </w:r>
      <w:r w:rsidR="0054376D">
        <w:rPr>
          <w:rFonts w:ascii="Times New Roman" w:hAnsi="Times New Roman" w:cs="Times New Roman"/>
          <w:bCs/>
        </w:rPr>
        <w:t>о</w:t>
      </w:r>
      <w:r>
        <w:rPr>
          <w:rFonts w:ascii="Times New Roman" w:hAnsi="Times New Roman" w:cs="Times New Roman"/>
          <w:bCs/>
        </w:rPr>
        <w:t>ября</w:t>
      </w:r>
      <w:r w:rsidRPr="001340E6">
        <w:rPr>
          <w:rFonts w:ascii="Times New Roman" w:hAnsi="Times New Roman" w:cs="Times New Roman"/>
          <w:bCs/>
        </w:rPr>
        <w:t xml:space="preserve"> 2016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057F71" w:rsidRPr="001340E6" w:rsidRDefault="00057F71" w:rsidP="00057F71">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2421FB">
        <w:rPr>
          <w:rFonts w:ascii="Times New Roman" w:hAnsi="Times New Roman" w:cs="Times New Roman"/>
          <w:bCs/>
        </w:rPr>
        <w:t>13</w:t>
      </w:r>
      <w:r>
        <w:rPr>
          <w:rFonts w:ascii="Times New Roman" w:hAnsi="Times New Roman" w:cs="Times New Roman"/>
          <w:bCs/>
        </w:rPr>
        <w:t xml:space="preserve"> </w:t>
      </w:r>
      <w:r w:rsidR="002421FB">
        <w:rPr>
          <w:rFonts w:ascii="Times New Roman" w:hAnsi="Times New Roman" w:cs="Times New Roman"/>
          <w:bCs/>
        </w:rPr>
        <w:t>дека</w:t>
      </w:r>
      <w:r>
        <w:rPr>
          <w:rFonts w:ascii="Times New Roman" w:hAnsi="Times New Roman" w:cs="Times New Roman"/>
          <w:bCs/>
        </w:rPr>
        <w:t>бря</w:t>
      </w:r>
      <w:r w:rsidRPr="001340E6">
        <w:rPr>
          <w:rFonts w:ascii="Times New Roman" w:hAnsi="Times New Roman" w:cs="Times New Roman"/>
          <w:bCs/>
        </w:rPr>
        <w:t xml:space="preserve"> 2016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4B1899" w:rsidRPr="001340E6" w:rsidRDefault="00057F71" w:rsidP="00057F71">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54376D" w:rsidRPr="0054376D">
        <w:rPr>
          <w:rFonts w:ascii="Times New Roman" w:hAnsi="Times New Roman" w:cs="Times New Roman"/>
          <w:bCs/>
        </w:rPr>
        <w:t>2</w:t>
      </w:r>
      <w:r w:rsidR="002421FB">
        <w:rPr>
          <w:rFonts w:ascii="Times New Roman" w:hAnsi="Times New Roman" w:cs="Times New Roman"/>
          <w:bCs/>
        </w:rPr>
        <w:t>7</w:t>
      </w:r>
      <w:r>
        <w:rPr>
          <w:rFonts w:ascii="Times New Roman" w:hAnsi="Times New Roman" w:cs="Times New Roman"/>
          <w:bCs/>
        </w:rPr>
        <w:t xml:space="preserve"> </w:t>
      </w:r>
      <w:r w:rsidR="002421FB">
        <w:rPr>
          <w:rFonts w:ascii="Times New Roman" w:hAnsi="Times New Roman" w:cs="Times New Roman"/>
          <w:bCs/>
        </w:rPr>
        <w:t>дека</w:t>
      </w:r>
      <w:r>
        <w:rPr>
          <w:rFonts w:ascii="Times New Roman" w:hAnsi="Times New Roman" w:cs="Times New Roman"/>
          <w:bCs/>
        </w:rPr>
        <w:t xml:space="preserve">бря </w:t>
      </w:r>
      <w:r w:rsidRPr="001340E6">
        <w:rPr>
          <w:rFonts w:ascii="Times New Roman" w:hAnsi="Times New Roman" w:cs="Times New Roman"/>
          <w:bCs/>
        </w:rPr>
        <w:t>2016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w:t>
      </w:r>
      <w:r w:rsidR="009B00D2">
        <w:rPr>
          <w:rFonts w:ascii="Times New Roman" w:hAnsi="Times New Roman" w:cs="Times New Roman"/>
        </w:rPr>
        <w:t>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 xml:space="preserve">.2. Предоставление документации о проведении предварительного отбора до </w:t>
      </w:r>
      <w:r w:rsidR="00610292" w:rsidRPr="001340E6">
        <w:rPr>
          <w:rFonts w:ascii="Times New Roman" w:hAnsi="Times New Roman" w:cs="Times New Roman"/>
        </w:rPr>
        <w:lastRenderedPageBreak/>
        <w:t>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9B00D2">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1" w:name="P159"/>
      <w:bookmarkEnd w:id="1"/>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AC1073" w:rsidRDefault="008243B6" w:rsidP="00AC107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AC1073" w:rsidRPr="00EE1803">
        <w:rPr>
          <w:rFonts w:ascii="Times New Roman" w:hAnsi="Times New Roman" w:cs="Times New Roman"/>
          <w:b/>
          <w:sz w:val="22"/>
          <w:szCs w:val="22"/>
        </w:rPr>
        <w:t xml:space="preserve">до </w:t>
      </w:r>
      <w:r w:rsidR="0054376D">
        <w:rPr>
          <w:rFonts w:ascii="Times New Roman" w:hAnsi="Times New Roman" w:cs="Times New Roman"/>
          <w:b/>
          <w:sz w:val="22"/>
          <w:szCs w:val="22"/>
        </w:rPr>
        <w:t>0</w:t>
      </w:r>
      <w:r w:rsidR="002421FB">
        <w:rPr>
          <w:rFonts w:ascii="Times New Roman" w:hAnsi="Times New Roman" w:cs="Times New Roman"/>
          <w:b/>
          <w:sz w:val="22"/>
          <w:szCs w:val="22"/>
        </w:rPr>
        <w:t>8</w:t>
      </w:r>
      <w:r w:rsidR="00AC1073" w:rsidRPr="00EE1803">
        <w:rPr>
          <w:rFonts w:ascii="Times New Roman" w:hAnsi="Times New Roman" w:cs="Times New Roman"/>
          <w:b/>
          <w:sz w:val="22"/>
          <w:szCs w:val="22"/>
        </w:rPr>
        <w:t xml:space="preserve"> </w:t>
      </w:r>
      <w:r w:rsidR="002421FB">
        <w:rPr>
          <w:rFonts w:ascii="Times New Roman" w:hAnsi="Times New Roman" w:cs="Times New Roman"/>
          <w:b/>
          <w:sz w:val="22"/>
          <w:szCs w:val="22"/>
        </w:rPr>
        <w:t>дека</w:t>
      </w:r>
      <w:r w:rsidR="00AC1073" w:rsidRPr="00EE1803">
        <w:rPr>
          <w:rFonts w:ascii="Times New Roman" w:hAnsi="Times New Roman" w:cs="Times New Roman"/>
          <w:b/>
          <w:sz w:val="22"/>
          <w:szCs w:val="22"/>
        </w:rPr>
        <w:t xml:space="preserve">бря 2016г. </w:t>
      </w:r>
      <w:r w:rsidR="00AC1073" w:rsidRPr="001340E6">
        <w:rPr>
          <w:rFonts w:ascii="Times New Roman" w:hAnsi="Times New Roman" w:cs="Times New Roman"/>
          <w:i/>
          <w:sz w:val="22"/>
          <w:szCs w:val="22"/>
        </w:rPr>
        <w:t xml:space="preserve">(не </w:t>
      </w:r>
      <w:proofErr w:type="gramStart"/>
      <w:r w:rsidR="00AC1073" w:rsidRPr="001340E6">
        <w:rPr>
          <w:rFonts w:ascii="Times New Roman" w:hAnsi="Times New Roman" w:cs="Times New Roman"/>
          <w:i/>
          <w:sz w:val="22"/>
          <w:szCs w:val="22"/>
        </w:rPr>
        <w:t>позднее</w:t>
      </w:r>
      <w:proofErr w:type="gramEnd"/>
      <w:r w:rsidR="00AC1073"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00AC1073"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1C0A1B" w:rsidRPr="00891141" w:rsidRDefault="00813AF3" w:rsidP="00891141">
      <w:pPr>
        <w:spacing w:after="0" w:line="240" w:lineRule="auto"/>
        <w:ind w:firstLine="709"/>
        <w:jc w:val="both"/>
        <w:rPr>
          <w:rFonts w:ascii="Times New Roman" w:hAnsi="Times New Roman" w:cs="Times New Roman"/>
          <w:b/>
          <w:szCs w:val="24"/>
        </w:rPr>
      </w:pPr>
      <w:proofErr w:type="gramStart"/>
      <w:r w:rsidRPr="00891141">
        <w:rPr>
          <w:rFonts w:ascii="Times New Roman" w:hAnsi="Times New Roman" w:cs="Times New Roman"/>
        </w:rPr>
        <w:t xml:space="preserve">а) </w:t>
      </w:r>
      <w:r w:rsidR="001C0A1B" w:rsidRPr="00891141">
        <w:rPr>
          <w:rFonts w:ascii="Times New Roman" w:hAnsi="Times New Roman" w:cs="Times New Roman"/>
          <w:szCs w:val="24"/>
        </w:rPr>
        <w:t xml:space="preserve">Наличие у участника выданного саморегулируемой организацией свидетельства о допуске к работам, перечень которых установлен </w:t>
      </w:r>
      <w:r w:rsidR="001C0A1B" w:rsidRPr="00891141">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1C0A1B" w:rsidRPr="00891141" w:rsidRDefault="001C0A1B" w:rsidP="00891141">
      <w:pPr>
        <w:spacing w:after="0" w:line="240" w:lineRule="auto"/>
        <w:ind w:firstLine="709"/>
        <w:jc w:val="both"/>
        <w:rPr>
          <w:rFonts w:ascii="Times New Roman" w:hAnsi="Times New Roman" w:cs="Times New Roman"/>
          <w:szCs w:val="24"/>
        </w:rPr>
      </w:pPr>
      <w:r w:rsidRPr="00891141">
        <w:rPr>
          <w:rFonts w:ascii="Times New Roman" w:hAnsi="Times New Roman" w:cs="Times New Roman"/>
          <w:szCs w:val="24"/>
        </w:rPr>
        <w:lastRenderedPageBreak/>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 об оказании услуг):</w:t>
      </w:r>
    </w:p>
    <w:p w:rsidR="003C5F31" w:rsidRPr="00891141" w:rsidRDefault="001C0A1B" w:rsidP="00891141">
      <w:pPr>
        <w:spacing w:after="0" w:line="240" w:lineRule="auto"/>
        <w:ind w:firstLine="709"/>
        <w:jc w:val="both"/>
        <w:rPr>
          <w:rFonts w:ascii="Times New Roman" w:hAnsi="Times New Roman" w:cs="Times New Roman"/>
          <w:bCs/>
        </w:rPr>
      </w:pPr>
      <w:r w:rsidRPr="00891141">
        <w:rPr>
          <w:rFonts w:ascii="Times New Roman" w:hAnsi="Times New Roman" w:cs="Times New Roman"/>
          <w:b/>
          <w:bCs/>
          <w:szCs w:val="24"/>
        </w:rPr>
        <w:t xml:space="preserve">пункт 13: </w:t>
      </w:r>
      <w:r w:rsidRPr="00891141">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w:t>
      </w:r>
      <w:r w:rsidR="001C107A">
        <w:rPr>
          <w:rFonts w:ascii="Times New Roman" w:hAnsi="Times New Roman" w:cs="Times New Roman"/>
          <w:szCs w:val="24"/>
        </w:rPr>
        <w:t>м (генеральным проектировщиком);</w:t>
      </w:r>
    </w:p>
    <w:p w:rsidR="00813AF3" w:rsidRPr="001340E6"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з)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813AF3" w:rsidRPr="001340E6" w:rsidRDefault="007A4D95" w:rsidP="00D740F8">
      <w:pPr>
        <w:spacing w:after="0" w:line="240" w:lineRule="auto"/>
        <w:ind w:firstLine="709"/>
        <w:jc w:val="both"/>
        <w:rPr>
          <w:rFonts w:ascii="Times New Roman" w:hAnsi="Times New Roman" w:cs="Times New Roman"/>
        </w:rPr>
      </w:pPr>
      <w:r>
        <w:rPr>
          <w:rFonts w:ascii="Times New Roman" w:hAnsi="Times New Roman" w:cs="Times New Roman"/>
        </w:rPr>
        <w:t>м</w:t>
      </w:r>
      <w:r w:rsidR="00813AF3" w:rsidRPr="001340E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не </w:t>
      </w:r>
      <w:r w:rsidR="00557CDF" w:rsidRPr="001340E6">
        <w:rPr>
          <w:rFonts w:ascii="Times New Roman" w:hAnsi="Times New Roman" w:cs="Times New Roman"/>
        </w:rPr>
        <w:t>менее</w:t>
      </w:r>
      <w:r w:rsidR="00813AF3" w:rsidRPr="001340E6">
        <w:rPr>
          <w:rFonts w:ascii="Times New Roman" w:hAnsi="Times New Roman" w:cs="Times New Roman"/>
        </w:rPr>
        <w:t xml:space="preserve">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tabs>
          <w:tab w:val="left" w:pos="3060"/>
        </w:tabs>
        <w:spacing w:after="0" w:line="240" w:lineRule="auto"/>
        <w:ind w:right="2"/>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485CB5">
        <w:rPr>
          <w:rFonts w:ascii="Times New Roman" w:hAnsi="Times New Roman" w:cs="Times New Roman"/>
        </w:rPr>
        <w:t>Участник предварительного отбора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B873F6" w:rsidRPr="00485CB5">
        <w:rPr>
          <w:rFonts w:ascii="Times New Roman" w:hAnsi="Times New Roman" w:cs="Times New Roman"/>
        </w:rPr>
        <w:t xml:space="preserve">о проведении предварительного отбора </w:t>
      </w:r>
      <w:r w:rsidR="00BB4421" w:rsidRPr="00485CB5">
        <w:rPr>
          <w:rFonts w:ascii="Times New Roman" w:hAnsi="Times New Roman" w:cs="Times New Roman"/>
        </w:rPr>
        <w:t>«</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rPr>
        <w:t>созданы и выданы</w:t>
      </w:r>
      <w:proofErr w:type="gramEnd"/>
      <w:r w:rsidRPr="001340E6">
        <w:rPr>
          <w:rFonts w:ascii="Times New Roman" w:hAnsi="Times New Roman" w:cs="Times New Roman"/>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б)</w:t>
      </w:r>
      <w:r w:rsidRPr="00891141">
        <w:rPr>
          <w:rFonts w:ascii="Times New Roman" w:hAnsi="Times New Roman" w:cs="Times New Roman"/>
        </w:rPr>
        <w:t xml:space="preserve"> </w:t>
      </w:r>
      <w:r w:rsidRPr="00891141">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1C0A1B" w:rsidRPr="00891141" w:rsidRDefault="00813AF3" w:rsidP="00891141">
      <w:pPr>
        <w:spacing w:after="0" w:line="240" w:lineRule="auto"/>
        <w:ind w:firstLine="709"/>
        <w:jc w:val="both"/>
        <w:rPr>
          <w:rFonts w:ascii="Times New Roman" w:hAnsi="Times New Roman" w:cs="Times New Roman"/>
          <w:b/>
          <w:szCs w:val="24"/>
        </w:rPr>
      </w:pPr>
      <w:r w:rsidRPr="00891141">
        <w:rPr>
          <w:rStyle w:val="a9"/>
          <w:rFonts w:ascii="Times New Roman" w:hAnsi="Times New Roman" w:cs="Times New Roman"/>
          <w:sz w:val="22"/>
          <w:szCs w:val="22"/>
        </w:rPr>
        <w:t xml:space="preserve">е) </w:t>
      </w:r>
      <w:r w:rsidR="00BB4421" w:rsidRPr="00891141">
        <w:rPr>
          <w:rStyle w:val="a9"/>
          <w:rFonts w:ascii="Times New Roman" w:hAnsi="Times New Roman" w:cs="Times New Roman"/>
          <w:sz w:val="22"/>
          <w:szCs w:val="22"/>
        </w:rPr>
        <w:t xml:space="preserve">копия </w:t>
      </w:r>
      <w:r w:rsidRPr="00891141">
        <w:rPr>
          <w:rFonts w:ascii="Times New Roman" w:hAnsi="Times New Roman" w:cs="Times New Roman"/>
        </w:rPr>
        <w:t xml:space="preserve">свидетельства </w:t>
      </w:r>
      <w:r w:rsidR="001C0A1B" w:rsidRPr="00891141">
        <w:rPr>
          <w:rFonts w:ascii="Times New Roman" w:hAnsi="Times New Roman" w:cs="Times New Roman"/>
        </w:rPr>
        <w:t>о допуске к работам</w:t>
      </w:r>
      <w:r w:rsidR="001C0A1B" w:rsidRPr="00891141">
        <w:rPr>
          <w:rFonts w:ascii="Times New Roman" w:hAnsi="Times New Roman" w:cs="Times New Roman"/>
          <w:szCs w:val="24"/>
        </w:rPr>
        <w:t xml:space="preserve">, перечень которых установлен </w:t>
      </w:r>
      <w:r w:rsidR="001C0A1B" w:rsidRPr="00891141">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C0A1B" w:rsidRPr="00891141" w:rsidRDefault="001C0A1B" w:rsidP="00891141">
      <w:pPr>
        <w:spacing w:after="0" w:line="240" w:lineRule="auto"/>
        <w:ind w:firstLine="709"/>
        <w:jc w:val="both"/>
        <w:rPr>
          <w:rFonts w:ascii="Times New Roman" w:hAnsi="Times New Roman" w:cs="Times New Roman"/>
          <w:szCs w:val="24"/>
        </w:rPr>
      </w:pPr>
      <w:r w:rsidRPr="00891141">
        <w:rPr>
          <w:rFonts w:ascii="Times New Roman" w:hAnsi="Times New Roman" w:cs="Times New Roman"/>
          <w:szCs w:val="24"/>
        </w:rPr>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 об оказании услуг):</w:t>
      </w:r>
    </w:p>
    <w:p w:rsidR="00983CF7" w:rsidRPr="00891141" w:rsidRDefault="001C0A1B" w:rsidP="00891141">
      <w:pPr>
        <w:spacing w:after="0" w:line="240" w:lineRule="auto"/>
        <w:ind w:firstLine="709"/>
        <w:jc w:val="both"/>
        <w:rPr>
          <w:rFonts w:ascii="Times New Roman" w:hAnsi="Times New Roman" w:cs="Times New Roman"/>
          <w:bCs/>
        </w:rPr>
      </w:pPr>
      <w:r w:rsidRPr="00891141">
        <w:rPr>
          <w:rFonts w:ascii="Times New Roman" w:hAnsi="Times New Roman" w:cs="Times New Roman"/>
          <w:b/>
          <w:bCs/>
          <w:szCs w:val="24"/>
        </w:rPr>
        <w:t xml:space="preserve">пункт 13: </w:t>
      </w:r>
      <w:r w:rsidRPr="00891141">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lastRenderedPageBreak/>
        <w:t>ж</w:t>
      </w:r>
      <w:r w:rsidR="00813AF3" w:rsidRPr="00891141">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proofErr w:type="gramStart"/>
      <w:r>
        <w:rPr>
          <w:rStyle w:val="a9"/>
          <w:rFonts w:ascii="Times New Roman" w:hAnsi="Times New Roman" w:cs="Times New Roman"/>
          <w:sz w:val="22"/>
          <w:szCs w:val="22"/>
        </w:rPr>
        <w:t>з</w:t>
      </w:r>
      <w:r w:rsidR="00813AF3" w:rsidRPr="00891141">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00813AF3" w:rsidRPr="00891141">
        <w:rPr>
          <w:rStyle w:val="a9"/>
          <w:rFonts w:ascii="Times New Roman" w:hAnsi="Times New Roman" w:cs="Times New Roman"/>
          <w:sz w:val="22"/>
          <w:szCs w:val="22"/>
        </w:rPr>
        <w:t xml:space="preserve"> с приложением электронной квитанции (расписки) о приеме документов с электронной подписью в случае отправки расчета в электронном виде;</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891141">
        <w:rPr>
          <w:rStyle w:val="a9"/>
          <w:rFonts w:ascii="Times New Roman" w:hAnsi="Times New Roman" w:cs="Times New Roman"/>
          <w:sz w:val="22"/>
          <w:szCs w:val="22"/>
        </w:rPr>
        <w:t>) штатное расписание;</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891141">
        <w:rPr>
          <w:rStyle w:val="a9"/>
          <w:rFonts w:ascii="Times New Roman" w:hAnsi="Times New Roman" w:cs="Times New Roman"/>
          <w:sz w:val="22"/>
          <w:szCs w:val="22"/>
        </w:rPr>
        <w:t xml:space="preserve">) </w:t>
      </w:r>
      <w:r w:rsidR="00813AF3" w:rsidRPr="008F5319">
        <w:rPr>
          <w:rStyle w:val="a9"/>
          <w:rFonts w:ascii="Times New Roman" w:hAnsi="Times New Roman" w:cs="Times New Roman"/>
          <w:sz w:val="22"/>
          <w:szCs w:val="22"/>
        </w:rPr>
        <w:t xml:space="preserve">штатно-списочный состав сотрудников, подготовленный по форме </w:t>
      </w:r>
      <w:r w:rsidR="00363420" w:rsidRPr="008F5319">
        <w:rPr>
          <w:rStyle w:val="a9"/>
          <w:rFonts w:ascii="Times New Roman" w:hAnsi="Times New Roman" w:cs="Times New Roman"/>
          <w:sz w:val="22"/>
          <w:szCs w:val="22"/>
        </w:rPr>
        <w:t xml:space="preserve">раздела </w:t>
      </w:r>
      <w:r w:rsidR="008F5319" w:rsidRPr="008F5319">
        <w:rPr>
          <w:rStyle w:val="a9"/>
          <w:rFonts w:ascii="Times New Roman" w:hAnsi="Times New Roman" w:cs="Times New Roman"/>
          <w:sz w:val="22"/>
          <w:szCs w:val="22"/>
          <w:lang w:val="en-US"/>
        </w:rPr>
        <w:t>V</w:t>
      </w:r>
      <w:r w:rsidR="008F5319" w:rsidRPr="008F5319">
        <w:rPr>
          <w:rStyle w:val="a9"/>
          <w:rFonts w:ascii="Times New Roman" w:hAnsi="Times New Roman" w:cs="Times New Roman"/>
          <w:sz w:val="22"/>
          <w:szCs w:val="22"/>
        </w:rPr>
        <w:t>. «</w:t>
      </w:r>
      <w:r w:rsidR="00363420" w:rsidRPr="008F5319">
        <w:rPr>
          <w:rFonts w:ascii="Times New Roman" w:hAnsi="Times New Roman" w:cs="Times New Roman"/>
        </w:rPr>
        <w:t>Образцы форм и документов для заполнения участниками предварительного отбора</w:t>
      </w:r>
      <w:r w:rsidR="008F5319" w:rsidRPr="008F5319">
        <w:rPr>
          <w:rFonts w:ascii="Times New Roman" w:hAnsi="Times New Roman" w:cs="Times New Roman"/>
        </w:rPr>
        <w:t>»</w:t>
      </w:r>
      <w:r w:rsidR="00363420" w:rsidRPr="008F5319">
        <w:rPr>
          <w:rStyle w:val="a9"/>
          <w:rFonts w:ascii="Times New Roman" w:hAnsi="Times New Roman" w:cs="Times New Roman"/>
          <w:sz w:val="22"/>
          <w:szCs w:val="22"/>
        </w:rPr>
        <w:t xml:space="preserve"> </w:t>
      </w:r>
      <w:r w:rsidR="00813AF3" w:rsidRPr="008F5319">
        <w:rPr>
          <w:rStyle w:val="a9"/>
          <w:rFonts w:ascii="Times New Roman" w:hAnsi="Times New Roman" w:cs="Times New Roman"/>
          <w:sz w:val="22"/>
          <w:szCs w:val="22"/>
        </w:rPr>
        <w:t>Документации</w:t>
      </w:r>
      <w:r w:rsidR="00813AF3" w:rsidRPr="00891141">
        <w:rPr>
          <w:rStyle w:val="a9"/>
          <w:rFonts w:ascii="Times New Roman" w:hAnsi="Times New Roman" w:cs="Times New Roman"/>
          <w:sz w:val="22"/>
          <w:szCs w:val="22"/>
        </w:rPr>
        <w:t xml:space="preserve"> о проведении предварительного отбора; </w:t>
      </w:r>
    </w:p>
    <w:p w:rsidR="00813AF3" w:rsidRPr="001340E6"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л</w:t>
      </w:r>
      <w:r w:rsidR="00813AF3" w:rsidRPr="00891141">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sidR="007A4D95">
        <w:rPr>
          <w:rStyle w:val="a9"/>
          <w:rFonts w:ascii="Times New Roman" w:hAnsi="Times New Roman" w:cs="Times New Roman"/>
          <w:sz w:val="22"/>
          <w:szCs w:val="22"/>
        </w:rPr>
        <w:t>л</w:t>
      </w:r>
      <w:r w:rsidR="00813AF3" w:rsidRPr="00891141">
        <w:rPr>
          <w:rStyle w:val="a9"/>
          <w:rFonts w:ascii="Times New Roman" w:hAnsi="Times New Roman" w:cs="Times New Roman"/>
          <w:sz w:val="22"/>
          <w:szCs w:val="22"/>
        </w:rPr>
        <w:t xml:space="preserve">» </w:t>
      </w:r>
      <w:r w:rsidR="00813AF3" w:rsidRPr="00891141">
        <w:rPr>
          <w:rFonts w:ascii="Times New Roman" w:hAnsi="Times New Roman" w:cs="Times New Roman"/>
        </w:rPr>
        <w:t>Требований к</w:t>
      </w:r>
      <w:r w:rsidR="00813AF3" w:rsidRPr="001340E6">
        <w:rPr>
          <w:rFonts w:ascii="Times New Roman" w:hAnsi="Times New Roman" w:cs="Times New Roman"/>
        </w:rPr>
        <w:t xml:space="preserve"> участникам предварительного отбора</w:t>
      </w:r>
      <w:r w:rsidR="00813AF3" w:rsidRPr="001340E6">
        <w:rPr>
          <w:rStyle w:val="a9"/>
          <w:rFonts w:ascii="Times New Roman" w:hAnsi="Times New Roman" w:cs="Times New Roman"/>
          <w:sz w:val="22"/>
          <w:szCs w:val="22"/>
        </w:rPr>
        <w:t>;</w:t>
      </w:r>
    </w:p>
    <w:p w:rsidR="00813AF3" w:rsidRPr="001340E6" w:rsidRDefault="00AC1073" w:rsidP="00D740F8">
      <w:pPr>
        <w:spacing w:after="0" w:line="240" w:lineRule="auto"/>
        <w:ind w:firstLine="709"/>
        <w:jc w:val="both"/>
        <w:rPr>
          <w:rFonts w:ascii="Times New Roman" w:hAnsi="Times New Roman" w:cs="Times New Roman"/>
        </w:rPr>
      </w:pPr>
      <w:proofErr w:type="gramStart"/>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w:t>
      </w:r>
      <w:proofErr w:type="gramEnd"/>
      <w:r w:rsidR="00813AF3" w:rsidRPr="001340E6">
        <w:rPr>
          <w:rStyle w:val="a9"/>
          <w:rFonts w:ascii="Times New Roman" w:hAnsi="Times New Roman" w:cs="Times New Roman"/>
          <w:sz w:val="22"/>
          <w:szCs w:val="22"/>
        </w:rPr>
        <w:t xml:space="preserve"> за 3 года, предшествующие дате подачи заявки. </w:t>
      </w:r>
      <w:r w:rsidR="00813AF3" w:rsidRPr="001340E6">
        <w:rPr>
          <w:rFonts w:ascii="Times New Roman" w:hAnsi="Times New Roman" w:cs="Times New Roman"/>
        </w:rPr>
        <w:t>При этом минимальный размер стоимости ранее выполненных работ по контрактам должен составлять не менее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1C107A">
      <w:pPr>
        <w:pStyle w:val="a4"/>
        <w:tabs>
          <w:tab w:val="left" w:pos="284"/>
          <w:tab w:val="left" w:pos="567"/>
        </w:tabs>
        <w:spacing w:after="0" w:line="240" w:lineRule="auto"/>
        <w:ind w:left="0" w:firstLine="360"/>
        <w:contextualSpacing w:val="0"/>
        <w:jc w:val="both"/>
        <w:rPr>
          <w:rFonts w:ascii="Times New Roman" w:hAnsi="Times New Roman" w:cs="Times New Roman"/>
        </w:rPr>
      </w:pPr>
    </w:p>
    <w:p w:rsidR="00813AF3" w:rsidRPr="001340E6" w:rsidRDefault="000C6B05" w:rsidP="0089114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89114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89114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D740F8">
      <w:pPr>
        <w:pStyle w:val="ConsPlusNormal"/>
        <w:tabs>
          <w:tab w:val="left" w:pos="567"/>
        </w:tabs>
        <w:jc w:val="both"/>
        <w:rPr>
          <w:rFonts w:ascii="Times New Roman" w:hAnsi="Times New Roman" w:cs="Times New Roman"/>
          <w:sz w:val="22"/>
          <w:szCs w:val="22"/>
        </w:rPr>
      </w:pP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891141">
      <w:pPr>
        <w:pStyle w:val="ConsPlusNormal"/>
        <w:tabs>
          <w:tab w:val="left" w:pos="142"/>
          <w:tab w:val="left" w:pos="1276"/>
        </w:tabs>
        <w:ind w:firstLine="709"/>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(Данный пункт подлежит корректировки в случаях, если регламент электронной площадки не предусматривает направление данных уведомлений)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признания предварительного отбора </w:t>
      </w:r>
      <w:proofErr w:type="gramStart"/>
      <w:r w:rsidRPr="001340E6">
        <w:rPr>
          <w:rFonts w:ascii="Times New Roman" w:hAnsi="Times New Roman" w:cs="Times New Roman"/>
          <w:sz w:val="22"/>
          <w:szCs w:val="22"/>
        </w:rPr>
        <w:t>несостоявшимся</w:t>
      </w:r>
      <w:proofErr w:type="gramEnd"/>
      <w:r w:rsidRPr="001340E6">
        <w:rPr>
          <w:rFonts w:ascii="Times New Roman" w:hAnsi="Times New Roman" w:cs="Times New Roman"/>
          <w:sz w:val="22"/>
          <w:szCs w:val="22"/>
        </w:rPr>
        <w:t xml:space="preserve">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Протокол </w:t>
      </w:r>
      <w:proofErr w:type="gramStart"/>
      <w:r w:rsidRPr="001340E6">
        <w:rPr>
          <w:rFonts w:ascii="Times New Roman" w:hAnsi="Times New Roman" w:cs="Times New Roman"/>
          <w:sz w:val="22"/>
          <w:szCs w:val="22"/>
        </w:rPr>
        <w:t>оформляется и размещается</w:t>
      </w:r>
      <w:proofErr w:type="gramEnd"/>
      <w:r w:rsidRPr="001340E6">
        <w:rPr>
          <w:rFonts w:ascii="Times New Roman" w:hAnsi="Times New Roman" w:cs="Times New Roman"/>
          <w:sz w:val="22"/>
          <w:szCs w:val="22"/>
        </w:rPr>
        <w:t xml:space="preserve">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w:t>
      </w:r>
      <w:r w:rsidRPr="001340E6">
        <w:rPr>
          <w:rFonts w:ascii="Times New Roman" w:hAnsi="Times New Roman" w:cs="Times New Roman"/>
          <w:sz w:val="22"/>
          <w:szCs w:val="22"/>
        </w:rPr>
        <w:lastRenderedPageBreak/>
        <w:t>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 </w:t>
            </w:r>
            <w:proofErr w:type="gramStart"/>
            <w:r w:rsidRPr="00AD099E">
              <w:rPr>
                <w:rFonts w:ascii="Times New Roman" w:eastAsia="Times New Roman" w:hAnsi="Times New Roman" w:cs="Times New Roman"/>
                <w:b/>
                <w:bCs/>
                <w:lang w:eastAsia="ru-RU"/>
              </w:rPr>
              <w:t>п</w:t>
            </w:r>
            <w:proofErr w:type="gramEnd"/>
            <w:r w:rsidRPr="00AD099E">
              <w:rPr>
                <w:rFonts w:ascii="Times New Roman" w:eastAsia="Times New Roman" w:hAnsi="Times New Roman" w:cs="Times New Roman"/>
                <w:b/>
                <w:bCs/>
                <w:lang w:eastAsia="ru-RU"/>
              </w:rPr>
              <w:t>/п</w:t>
            </w:r>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8"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9" w:history="1">
              <w:r w:rsidRPr="00AD099E">
                <w:rPr>
                  <w:rStyle w:val="a5"/>
                  <w:rFonts w:ascii="Times New Roman" w:hAnsi="Times New Roman" w:cs="Times New Roman"/>
                  <w:color w:val="auto"/>
                  <w:u w:val="none"/>
                </w:rPr>
                <w:t xml:space="preserve">Федеральный закон от 23.11.2009 г. № 261-ФЗ «Об </w:t>
              </w:r>
              <w:r w:rsidRPr="00AD099E">
                <w:rPr>
                  <w:rStyle w:val="a5"/>
                  <w:rFonts w:ascii="Times New Roman" w:hAnsi="Times New Roman" w:cs="Times New Roman"/>
                  <w:color w:val="auto"/>
                  <w:u w:val="none"/>
                </w:rPr>
                <w:lastRenderedPageBreak/>
                <w:t xml:space="preserve">энергосбережении </w:t>
              </w:r>
              <w:proofErr w:type="gramStart"/>
              <w:r w:rsidRPr="00AD099E">
                <w:rPr>
                  <w:rStyle w:val="a5"/>
                  <w:rFonts w:ascii="Times New Roman" w:hAnsi="Times New Roman" w:cs="Times New Roman"/>
                  <w:color w:val="auto"/>
                  <w:u w:val="none"/>
                </w:rPr>
                <w:t>и</w:t>
              </w:r>
              <w:proofErr w:type="gramEnd"/>
              <w:r w:rsidRPr="00AD099E">
                <w:rPr>
                  <w:rStyle w:val="a5"/>
                  <w:rFonts w:ascii="Times New Roman" w:hAnsi="Times New Roman" w:cs="Times New Roman"/>
                  <w:color w:val="auto"/>
                  <w:u w:val="none"/>
                </w:rPr>
                <w:t xml:space="preserve">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15.13330.2012 «СНиП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16.13330.2011 «СНиП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17.13330.2001 «СНиП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«СНиП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«СНиП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«СНиП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«СНиП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«СНиП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«СНиП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54.13330.2011 СНиП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«СНиП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«СНиП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64.13330.2011 «СНиП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«СНиП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lastRenderedPageBreak/>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составу 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t xml:space="preserve">Разделы и подразделы проектно-сметной документации 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w:t>
            </w:r>
            <w:r w:rsidRPr="00AD099E">
              <w:rPr>
                <w:rFonts w:ascii="Times New Roman" w:eastAsia="Times New Roman" w:hAnsi="Times New Roman" w:cs="Times New Roman"/>
                <w:lang w:eastAsia="ru-RU"/>
              </w:rPr>
              <w:lastRenderedPageBreak/>
              <w:t xml:space="preserve">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lastRenderedPageBreak/>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t xml:space="preserve">Раздел выполняется в соответствии с </w:t>
            </w:r>
            <w:r w:rsidRPr="00AD099E">
              <w:rPr>
                <w:rFonts w:ascii="Times New Roman" w:hAnsi="Times New Roman"/>
                <w:bCs/>
                <w:kern w:val="36"/>
                <w:szCs w:val="22"/>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Требования к согласованию с ведомствами и </w:t>
            </w:r>
            <w:r w:rsidRPr="00AD099E">
              <w:rPr>
                <w:rFonts w:ascii="Times New Roman" w:eastAsia="Times New Roman" w:hAnsi="Times New Roman" w:cs="Times New Roman"/>
                <w:lang w:eastAsia="ru-RU"/>
              </w:rPr>
              <w:lastRenderedPageBreak/>
              <w:t>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lastRenderedPageBreak/>
              <w:t xml:space="preserve">Подрядной организацией должны быть получены все необходимые согласования и заключения экспертизы </w:t>
            </w:r>
            <w:r w:rsidRPr="00AD099E">
              <w:rPr>
                <w:rFonts w:ascii="Times New Roman" w:hAnsi="Times New Roman"/>
                <w:kern w:val="36"/>
                <w:szCs w:val="22"/>
              </w:rPr>
              <w:lastRenderedPageBreak/>
              <w:t>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094FC1" w:rsidRPr="001340E6" w:rsidRDefault="00094FC1" w:rsidP="00094FC1">
      <w:pPr>
        <w:pStyle w:val="a"/>
        <w:numPr>
          <w:ilvl w:val="0"/>
          <w:numId w:val="0"/>
        </w:numPr>
        <w:spacing w:before="0"/>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 xml:space="preserve">№ </w:t>
            </w:r>
            <w:proofErr w:type="gramStart"/>
            <w:r w:rsidRPr="00AD099E">
              <w:rPr>
                <w:rStyle w:val="a9"/>
                <w:rFonts w:ascii="Times New Roman" w:hAnsi="Times New Roman" w:cs="Times New Roman"/>
                <w:b/>
                <w:sz w:val="22"/>
                <w:szCs w:val="22"/>
              </w:rPr>
              <w:t>п</w:t>
            </w:r>
            <w:proofErr w:type="gramEnd"/>
            <w:r w:rsidRPr="00AD099E">
              <w:rPr>
                <w:rStyle w:val="a9"/>
                <w:rFonts w:ascii="Times New Roman" w:hAnsi="Times New Roman" w:cs="Times New Roman"/>
                <w:b/>
                <w:sz w:val="22"/>
                <w:szCs w:val="22"/>
              </w:rPr>
              <w:t>/п</w:t>
            </w: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AD099E" w:rsidRDefault="00614B40" w:rsidP="00891141">
            <w:pPr>
              <w:jc w:val="both"/>
              <w:rPr>
                <w:rFonts w:ascii="Times New Roman" w:eastAsia="Times New Roman" w:hAnsi="Times New Roman" w:cs="Times New Roman"/>
                <w:bCs/>
                <w:color w:val="000000" w:themeColor="text1"/>
                <w:lang w:eastAsia="ru-RU"/>
              </w:rPr>
            </w:pPr>
            <w:proofErr w:type="gramStart"/>
            <w:r w:rsidRPr="00AD099E">
              <w:rPr>
                <w:rStyle w:val="a9"/>
                <w:rFonts w:ascii="Times New Roman" w:hAnsi="Times New Roman" w:cs="Times New Roman"/>
                <w:color w:val="000000" w:themeColor="text1"/>
                <w:sz w:val="22"/>
                <w:szCs w:val="22"/>
              </w:rPr>
              <w:t>Предметом договора является в</w:t>
            </w:r>
            <w:r w:rsidRPr="00AD099E">
              <w:rPr>
                <w:rFonts w:ascii="Times New Roman" w:eastAsia="Times New Roman" w:hAnsi="Times New Roman" w:cs="Times New Roman"/>
                <w:bCs/>
                <w:color w:val="000000" w:themeColor="text1"/>
                <w:lang w:eastAsia="ru-RU"/>
              </w:rPr>
              <w:t xml:space="preserve">ыполнение работ </w:t>
            </w:r>
            <w:r w:rsidRPr="00AD099E">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Pr>
                <w:rFonts w:ascii="Times New Roman" w:eastAsia="Times New Roman" w:hAnsi="Times New Roman" w:cs="Times New Roman"/>
                <w:bCs/>
                <w:color w:val="000000" w:themeColor="text1"/>
                <w:lang w:eastAsia="ru-RU"/>
              </w:rPr>
              <w:t xml:space="preserve">, </w:t>
            </w:r>
            <w:r w:rsidR="00485CB5" w:rsidRPr="001340E6">
              <w:rPr>
                <w:rStyle w:val="a9"/>
                <w:rFonts w:ascii="Times New Roman" w:hAnsi="Times New Roman" w:cs="Times New Roman"/>
                <w:sz w:val="22"/>
                <w:szCs w:val="22"/>
              </w:rPr>
              <w:t xml:space="preserve">предусмотренных ст. 14 Закона </w:t>
            </w:r>
            <w:r w:rsidR="00485CB5"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485CB5" w:rsidRDefault="00614B40" w:rsidP="00891141">
            <w:pPr>
              <w:jc w:val="both"/>
              <w:rPr>
                <w:rStyle w:val="a9"/>
                <w:rFonts w:ascii="Times New Roman" w:hAnsi="Times New Roman" w:cs="Times New Roman"/>
                <w:color w:val="000000" w:themeColor="text1"/>
                <w:sz w:val="22"/>
                <w:szCs w:val="22"/>
              </w:rPr>
            </w:pPr>
            <w:r w:rsidRPr="00AD099E">
              <w:rPr>
                <w:rStyle w:val="a9"/>
                <w:rFonts w:ascii="Times New Roman" w:hAnsi="Times New Roman" w:cs="Times New Roman"/>
                <w:color w:val="000000" w:themeColor="text1"/>
                <w:sz w:val="22"/>
                <w:szCs w:val="22"/>
              </w:rPr>
              <w:t xml:space="preserve">Объем и перечень выполняемых работ </w:t>
            </w:r>
            <w:r w:rsidRPr="00AD099E">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AD099E">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1340E6">
              <w:rPr>
                <w:rFonts w:ascii="Times New Roman" w:hAnsi="Times New Roman" w:cs="Times New Roman"/>
              </w:rPr>
              <w:t>.</w:t>
            </w:r>
          </w:p>
          <w:p w:rsidR="00614B40" w:rsidRPr="001340E6"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614B40" w:rsidRPr="001340E6" w:rsidRDefault="00614B40" w:rsidP="00891141">
            <w:pPr>
              <w:pStyle w:val="ConsPlusNormal"/>
              <w:tabs>
                <w:tab w:val="left" w:pos="567"/>
                <w:tab w:val="left" w:pos="1134"/>
              </w:tabs>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 в отношении многоквартирных домов</w:t>
            </w:r>
            <w:r w:rsidR="00633199">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633199">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633199">
              <w:rPr>
                <w:rFonts w:ascii="Times New Roman" w:hAnsi="Times New Roman" w:cs="Times New Roman"/>
                <w:sz w:val="22"/>
                <w:szCs w:val="22"/>
              </w:rPr>
              <w:t>п</w:t>
            </w:r>
            <w:r w:rsidRPr="001340E6">
              <w:rPr>
                <w:rFonts w:ascii="Times New Roman" w:hAnsi="Times New Roman" w:cs="Times New Roman"/>
                <w:sz w:val="22"/>
                <w:szCs w:val="22"/>
              </w:rPr>
              <w:t>остановлением Правительства Красноярского края от 27.12.2013 N 709-п, на 2016, 2017 годы» и</w:t>
            </w:r>
            <w:r w:rsidR="00633199">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proofErr w:type="spellStart"/>
            <w:r w:rsidRPr="001340E6">
              <w:rPr>
                <w:rFonts w:ascii="Times New Roman" w:hAnsi="Times New Roman" w:cs="Times New Roman"/>
                <w:bCs/>
                <w:sz w:val="22"/>
                <w:szCs w:val="22"/>
                <w:lang w:val="en-US"/>
              </w:rPr>
              <w:t>gkh</w:t>
            </w:r>
            <w:proofErr w:type="spellEnd"/>
            <w:r w:rsidRPr="001340E6">
              <w:rPr>
                <w:rFonts w:ascii="Times New Roman" w:hAnsi="Times New Roman" w:cs="Times New Roman"/>
                <w:bCs/>
                <w:sz w:val="22"/>
                <w:szCs w:val="22"/>
              </w:rPr>
              <w:t>24.</w:t>
            </w:r>
            <w:proofErr w:type="spellStart"/>
            <w:r w:rsidRPr="001340E6">
              <w:rPr>
                <w:rFonts w:ascii="Times New Roman" w:hAnsi="Times New Roman" w:cs="Times New Roman"/>
                <w:bCs/>
                <w:sz w:val="22"/>
                <w:szCs w:val="22"/>
                <w:lang w:val="en-US"/>
              </w:rPr>
              <w:t>ru</w:t>
            </w:r>
            <w:proofErr w:type="spellEnd"/>
            <w:r w:rsidRPr="001340E6">
              <w:rPr>
                <w:rFonts w:ascii="Times New Roman" w:hAnsi="Times New Roman" w:cs="Times New Roman"/>
                <w:bCs/>
                <w:sz w:val="22"/>
                <w:szCs w:val="22"/>
              </w:rPr>
              <w:t xml:space="preserve">, а </w:t>
            </w:r>
            <w:r w:rsidRPr="001340E6">
              <w:rPr>
                <w:rFonts w:ascii="Times New Roman" w:hAnsi="Times New Roman" w:cs="Times New Roman"/>
                <w:bCs/>
                <w:sz w:val="22"/>
                <w:szCs w:val="22"/>
              </w:rPr>
              <w:lastRenderedPageBreak/>
              <w:t xml:space="preserve">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AD099E" w:rsidRDefault="00614B40" w:rsidP="00891141">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614B40" w:rsidRPr="00AD099E" w:rsidRDefault="00614B40" w:rsidP="001C0A1B">
            <w:pPr>
              <w:pStyle w:val="ConsPlusNormal"/>
              <w:numPr>
                <w:ilvl w:val="0"/>
                <w:numId w:val="6"/>
              </w:numPr>
              <w:tabs>
                <w:tab w:val="left" w:pos="54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Исполнение договора обеспечивается:</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б) обеспечительным платежом.</w:t>
            </w:r>
          </w:p>
          <w:p w:rsidR="00614B40" w:rsidRPr="00AD099E" w:rsidRDefault="00614B40" w:rsidP="001C0A1B">
            <w:pPr>
              <w:pStyle w:val="ConsPlusNormal"/>
              <w:numPr>
                <w:ilvl w:val="0"/>
                <w:numId w:val="6"/>
              </w:numPr>
              <w:tabs>
                <w:tab w:val="left" w:pos="526"/>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614B40" w:rsidRPr="00AD099E" w:rsidRDefault="00614B40" w:rsidP="001C0A1B">
            <w:pPr>
              <w:pStyle w:val="ConsPlusNormal"/>
              <w:numPr>
                <w:ilvl w:val="0"/>
                <w:numId w:val="6"/>
              </w:numPr>
              <w:tabs>
                <w:tab w:val="left" w:pos="526"/>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Размер обеспечения исполнения договора об оказании услуг указываются в извещении о проведении электронного аукциона.</w:t>
            </w:r>
          </w:p>
          <w:p w:rsidR="00614B40" w:rsidRPr="00AD099E" w:rsidRDefault="00614B40" w:rsidP="001C0A1B">
            <w:pPr>
              <w:pStyle w:val="ConsPlusNormal"/>
              <w:numPr>
                <w:ilvl w:val="0"/>
                <w:numId w:val="6"/>
              </w:numPr>
              <w:tabs>
                <w:tab w:val="left" w:pos="54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614B40" w:rsidRPr="00AD099E" w:rsidRDefault="00614B40" w:rsidP="001C0A1B">
            <w:pPr>
              <w:pStyle w:val="ConsPlusNormal"/>
              <w:numPr>
                <w:ilvl w:val="0"/>
                <w:numId w:val="6"/>
              </w:numPr>
              <w:tabs>
                <w:tab w:val="left" w:pos="541"/>
              </w:tabs>
              <w:ind w:left="0" w:firstLine="325"/>
              <w:jc w:val="both"/>
              <w:rPr>
                <w:rFonts w:ascii="Times New Roman" w:hAnsi="Times New Roman" w:cs="Times New Roman"/>
                <w:sz w:val="22"/>
                <w:szCs w:val="22"/>
              </w:rPr>
            </w:pPr>
            <w:proofErr w:type="gramStart"/>
            <w:r w:rsidRPr="00AD099E">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w:t>
            </w:r>
            <w:proofErr w:type="gramEnd"/>
            <w:r w:rsidRPr="00AD099E">
              <w:rPr>
                <w:rFonts w:ascii="Times New Roman" w:hAnsi="Times New Roman" w:cs="Times New Roman"/>
                <w:sz w:val="22"/>
                <w:szCs w:val="22"/>
              </w:rPr>
              <w:t xml:space="preserve"> более процентов ниже начальной (максимальной) цены договора.</w:t>
            </w:r>
          </w:p>
          <w:p w:rsidR="00614B40" w:rsidRPr="00AD099E" w:rsidRDefault="00614B40" w:rsidP="001C0A1B">
            <w:pPr>
              <w:pStyle w:val="ConsPlusNormal"/>
              <w:numPr>
                <w:ilvl w:val="0"/>
                <w:numId w:val="6"/>
              </w:numPr>
              <w:tabs>
                <w:tab w:val="left" w:pos="608"/>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а) быть безотзывной;</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614B40" w:rsidRPr="00AD099E" w:rsidRDefault="00614B40" w:rsidP="001C0A1B">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В </w:t>
            </w:r>
            <w:r w:rsidRPr="00AD099E">
              <w:rPr>
                <w:rFonts w:ascii="Times New Roman" w:hAnsi="Times New Roman" w:cs="Times New Roman"/>
                <w:sz w:val="22"/>
                <w:szCs w:val="22"/>
              </w:rPr>
              <w:t>документации о проведении электронного аукциона</w:t>
            </w:r>
            <w:r w:rsidRPr="00AD099E">
              <w:rPr>
                <w:rStyle w:val="a9"/>
                <w:rFonts w:ascii="Times New Roman" w:hAnsi="Times New Roman" w:cs="Times New Roman"/>
                <w:sz w:val="22"/>
                <w:szCs w:val="22"/>
              </w:rPr>
              <w:t xml:space="preserve"> Заказчиком могут быть установлены дополнительные требования к обеспечению исполнения договора.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614B40" w:rsidRPr="00AD099E" w:rsidRDefault="00614B40" w:rsidP="001C0A1B">
            <w:pPr>
              <w:pStyle w:val="ConsPlusNormal"/>
              <w:numPr>
                <w:ilvl w:val="0"/>
                <w:numId w:val="8"/>
              </w:numPr>
              <w:tabs>
                <w:tab w:val="left" w:pos="600"/>
              </w:tabs>
              <w:ind w:left="0" w:firstLine="317"/>
              <w:jc w:val="both"/>
              <w:rPr>
                <w:rFonts w:ascii="Times New Roman" w:hAnsi="Times New Roman" w:cs="Times New Roman"/>
                <w:sz w:val="22"/>
                <w:szCs w:val="22"/>
              </w:rPr>
            </w:pPr>
            <w:r w:rsidRPr="00AD099E">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8"/>
              </w:numPr>
              <w:tabs>
                <w:tab w:val="left" w:pos="600"/>
              </w:tabs>
              <w:ind w:left="0" w:firstLine="317"/>
              <w:jc w:val="both"/>
              <w:rPr>
                <w:rFonts w:ascii="Times New Roman" w:hAnsi="Times New Roman" w:cs="Times New Roman"/>
                <w:sz w:val="22"/>
                <w:szCs w:val="22"/>
              </w:rPr>
            </w:pPr>
            <w:r w:rsidRPr="00AD099E">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в)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г)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 xml:space="preserve">д) нарушение срока замены банковской гарантии, установленного </w:t>
            </w:r>
            <w:r w:rsidRPr="00AD099E">
              <w:rPr>
                <w:rFonts w:ascii="Times New Roman" w:hAnsi="Times New Roman" w:cs="Times New Roman"/>
                <w:sz w:val="22"/>
                <w:szCs w:val="22"/>
              </w:rPr>
              <w:lastRenderedPageBreak/>
              <w:t>договором об оказании услуг, при отзыве лицензии, банкротстве или ликвидации банка-гаранта более чем на 2 (два) рабочих дня;</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proofErr w:type="gramStart"/>
            <w:r w:rsidRPr="00AD099E">
              <w:rPr>
                <w:rFonts w:ascii="Times New Roman" w:hAnsi="Times New Roman" w:cs="Times New Roman"/>
                <w:sz w:val="22"/>
                <w:szCs w:val="22"/>
              </w:rPr>
              <w:t>е)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614B40" w:rsidRPr="00AD099E" w:rsidRDefault="00614B40" w:rsidP="001C0A1B">
            <w:pPr>
              <w:pStyle w:val="ConsPlusNormal"/>
              <w:numPr>
                <w:ilvl w:val="0"/>
                <w:numId w:val="8"/>
              </w:numPr>
              <w:tabs>
                <w:tab w:val="left" w:pos="600"/>
              </w:tabs>
              <w:ind w:left="0" w:firstLine="317"/>
              <w:jc w:val="both"/>
              <w:rPr>
                <w:rFonts w:ascii="Times New Roman" w:hAnsi="Times New Roman" w:cs="Times New Roman"/>
                <w:sz w:val="22"/>
                <w:szCs w:val="22"/>
              </w:rPr>
            </w:pPr>
            <w:r w:rsidRPr="00AD099E">
              <w:rPr>
                <w:rFonts w:ascii="Times New Roman" w:hAnsi="Times New Roman" w:cs="Times New Roman"/>
                <w:sz w:val="22"/>
                <w:szCs w:val="22"/>
              </w:rPr>
              <w:t xml:space="preserve">Штраф, указанный в пункте 2, уплачивается помимо средств, которые подрядная организация </w:t>
            </w:r>
            <w:proofErr w:type="gramStart"/>
            <w:r w:rsidRPr="00AD099E">
              <w:rPr>
                <w:rFonts w:ascii="Times New Roman" w:hAnsi="Times New Roman" w:cs="Times New Roman"/>
                <w:sz w:val="22"/>
                <w:szCs w:val="22"/>
              </w:rPr>
              <w:t>обязана</w:t>
            </w:r>
            <w:proofErr w:type="gramEnd"/>
            <w:r w:rsidRPr="00AD099E">
              <w:rPr>
                <w:rFonts w:ascii="Times New Roman" w:hAnsi="Times New Roman" w:cs="Times New Roman"/>
                <w:sz w:val="22"/>
                <w:szCs w:val="22"/>
              </w:rPr>
              <w:t xml:space="preserve"> будет возместить Заказчику в качестве причиненных убытков (вреда).</w:t>
            </w:r>
          </w:p>
          <w:p w:rsidR="00614B40" w:rsidRPr="007A4D95" w:rsidRDefault="00614B40" w:rsidP="001C0A1B">
            <w:pPr>
              <w:pStyle w:val="ConsPlusNormal"/>
              <w:numPr>
                <w:ilvl w:val="0"/>
                <w:numId w:val="8"/>
              </w:numPr>
              <w:tabs>
                <w:tab w:val="left" w:pos="600"/>
              </w:tabs>
              <w:ind w:left="0" w:firstLine="317"/>
              <w:jc w:val="both"/>
              <w:rPr>
                <w:rStyle w:val="a9"/>
                <w:rFonts w:ascii="Times New Roman" w:hAnsi="Times New Roman" w:cs="Times New Roman"/>
                <w:sz w:val="22"/>
                <w:szCs w:val="22"/>
              </w:rPr>
            </w:pPr>
            <w:r w:rsidRPr="00AD099E">
              <w:rPr>
                <w:rFonts w:ascii="Times New Roman" w:hAnsi="Times New Roman" w:cs="Times New Roman"/>
                <w:sz w:val="22"/>
                <w:szCs w:val="22"/>
              </w:rPr>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614B40" w:rsidRPr="00AD099E" w:rsidRDefault="00614B40" w:rsidP="001C0A1B">
            <w:pPr>
              <w:pStyle w:val="ConsPlusNormal"/>
              <w:numPr>
                <w:ilvl w:val="0"/>
                <w:numId w:val="9"/>
              </w:numPr>
              <w:tabs>
                <w:tab w:val="left" w:pos="750"/>
              </w:tabs>
              <w:ind w:left="0" w:firstLine="540"/>
              <w:jc w:val="both"/>
              <w:rPr>
                <w:rFonts w:ascii="Times New Roman" w:hAnsi="Times New Roman" w:cs="Times New Roman"/>
                <w:sz w:val="22"/>
                <w:szCs w:val="22"/>
              </w:rPr>
            </w:pPr>
            <w:proofErr w:type="gramStart"/>
            <w:r w:rsidRPr="00AD099E">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w:t>
            </w:r>
            <w:proofErr w:type="gramEnd"/>
            <w:r w:rsidRPr="00AD099E">
              <w:rPr>
                <w:rFonts w:ascii="Times New Roman" w:hAnsi="Times New Roman" w:cs="Times New Roman"/>
                <w:sz w:val="22"/>
                <w:szCs w:val="22"/>
              </w:rPr>
              <w:t>. № 615 (далее – Положение).</w:t>
            </w:r>
          </w:p>
          <w:p w:rsidR="00614B40" w:rsidRPr="00AD099E" w:rsidRDefault="00614B40" w:rsidP="001C0A1B">
            <w:pPr>
              <w:pStyle w:val="ConsPlusNormal"/>
              <w:numPr>
                <w:ilvl w:val="0"/>
                <w:numId w:val="9"/>
              </w:numPr>
              <w:tabs>
                <w:tab w:val="left" w:pos="600"/>
              </w:tabs>
              <w:ind w:left="33" w:firstLine="284"/>
              <w:jc w:val="both"/>
              <w:rPr>
                <w:rFonts w:ascii="Times New Roman" w:hAnsi="Times New Roman" w:cs="Times New Roman"/>
                <w:sz w:val="22"/>
                <w:szCs w:val="22"/>
              </w:rPr>
            </w:pPr>
            <w:r w:rsidRPr="00AD099E">
              <w:rPr>
                <w:rFonts w:ascii="Times New Roman" w:hAnsi="Times New Roman" w:cs="Times New Roman"/>
                <w:sz w:val="22"/>
                <w:szCs w:val="22"/>
              </w:rPr>
              <w:t>Порядок заключения договора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9"/>
              </w:numPr>
              <w:tabs>
                <w:tab w:val="left" w:pos="600"/>
              </w:tabs>
              <w:ind w:left="33" w:firstLine="284"/>
              <w:jc w:val="both"/>
              <w:rPr>
                <w:rFonts w:ascii="Times New Roman" w:hAnsi="Times New Roman" w:cs="Times New Roman"/>
                <w:sz w:val="22"/>
                <w:szCs w:val="22"/>
              </w:rPr>
            </w:pPr>
            <w:r w:rsidRPr="00AD099E">
              <w:rPr>
                <w:rFonts w:ascii="Times New Roman" w:hAnsi="Times New Roman" w:cs="Times New Roman"/>
                <w:sz w:val="22"/>
                <w:szCs w:val="22"/>
              </w:rPr>
              <w:t xml:space="preserve">Договор об оказании услуг не может быть заключен </w:t>
            </w:r>
            <w:proofErr w:type="gramStart"/>
            <w:r w:rsidRPr="00AD099E">
              <w:rPr>
                <w:rFonts w:ascii="Times New Roman" w:hAnsi="Times New Roman" w:cs="Times New Roman"/>
                <w:sz w:val="22"/>
                <w:szCs w:val="22"/>
              </w:rPr>
              <w:t>ранее</w:t>
            </w:r>
            <w:proofErr w:type="gramEnd"/>
            <w:r w:rsidRPr="00AD099E">
              <w:rPr>
                <w:rFonts w:ascii="Times New Roman" w:hAnsi="Times New Roman" w:cs="Times New Roman"/>
                <w:sz w:val="22"/>
                <w:szCs w:val="22"/>
              </w:rPr>
              <w:t xml:space="preserve">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614B40" w:rsidRPr="00AD099E" w:rsidRDefault="00614B40" w:rsidP="001C0A1B">
            <w:pPr>
              <w:pStyle w:val="ConsPlusNormal"/>
              <w:numPr>
                <w:ilvl w:val="0"/>
                <w:numId w:val="9"/>
              </w:numPr>
              <w:tabs>
                <w:tab w:val="left" w:pos="600"/>
              </w:tabs>
              <w:ind w:left="33" w:firstLine="284"/>
              <w:jc w:val="both"/>
              <w:rPr>
                <w:rFonts w:ascii="Times New Roman" w:hAnsi="Times New Roman" w:cs="Times New Roman"/>
                <w:sz w:val="22"/>
                <w:szCs w:val="22"/>
              </w:rPr>
            </w:pPr>
            <w:r w:rsidRPr="00AD099E">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Расторжение договора допускается:</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lastRenderedPageBreak/>
              <w:t>а) по соглашению сторон;</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Заказчик вправе расторгнуть договор в одностороннем порядке в следующих случаях:</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в)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г)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д)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14B40" w:rsidRPr="00AD099E" w:rsidRDefault="00614B40" w:rsidP="001C0A1B">
            <w:pPr>
              <w:pStyle w:val="ConsPlusNormal"/>
              <w:tabs>
                <w:tab w:val="left" w:pos="600"/>
              </w:tabs>
              <w:ind w:firstLine="317"/>
              <w:jc w:val="both"/>
              <w:rPr>
                <w:rStyle w:val="a9"/>
                <w:rFonts w:ascii="Times New Roman" w:hAnsi="Times New Roman" w:cs="Times New Roman"/>
                <w:sz w:val="22"/>
                <w:szCs w:val="22"/>
              </w:rPr>
            </w:pPr>
            <w:proofErr w:type="gramStart"/>
            <w:r w:rsidRPr="00AD099E">
              <w:rPr>
                <w:rFonts w:ascii="Times New Roman" w:hAnsi="Times New Roman" w:cs="Times New Roman"/>
                <w:sz w:val="22"/>
                <w:szCs w:val="22"/>
              </w:rPr>
              <w:t>е)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w:t>
      </w:r>
      <w:proofErr w:type="gramStart"/>
      <w:r w:rsidRPr="001340E6">
        <w:rPr>
          <w:rFonts w:ascii="Times New Roman" w:hAnsi="Times New Roman" w:cs="Times New Roman"/>
        </w:rPr>
        <w:t>изучена в полном объеме и признана</w:t>
      </w:r>
      <w:proofErr w:type="gramEnd"/>
      <w:r w:rsidRPr="001340E6">
        <w:rPr>
          <w:rFonts w:ascii="Times New Roman" w:hAnsi="Times New Roman" w:cs="Times New Roman"/>
        </w:rPr>
        <w:t xml:space="preserve">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0"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A56793" w:rsidRPr="001340E6" w:rsidRDefault="00A56793" w:rsidP="00D740F8">
      <w:pPr>
        <w:spacing w:after="0" w:line="240" w:lineRule="auto"/>
        <w:ind w:left="5812"/>
        <w:jc w:val="right"/>
        <w:rPr>
          <w:rFonts w:ascii="Times New Roman" w:hAnsi="Times New Roman" w:cs="Times New Roman"/>
        </w:rPr>
      </w:pP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gramStart"/>
            <w:r w:rsidRPr="001340E6">
              <w:rPr>
                <w:rFonts w:ascii="Times New Roman" w:eastAsia="Times New Roman" w:hAnsi="Times New Roman" w:cs="Times New Roman"/>
                <w:lang w:eastAsia="ru-RU"/>
              </w:rPr>
              <w:t>п</w:t>
            </w:r>
            <w:proofErr w:type="gramEnd"/>
            <w:r w:rsidRPr="001340E6">
              <w:rPr>
                <w:rFonts w:ascii="Times New Roman" w:eastAsia="Times New Roman" w:hAnsi="Times New Roman" w:cs="Times New Roman"/>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gramStart"/>
      <w:r w:rsidRPr="001340E6">
        <w:rPr>
          <w:rFonts w:ascii="Times New Roman" w:hAnsi="Times New Roman" w:cs="Times New Roman"/>
          <w:i/>
          <w:sz w:val="22"/>
          <w:szCs w:val="22"/>
        </w:rPr>
        <w:t>п</w:t>
      </w:r>
      <w:proofErr w:type="gramEnd"/>
      <w:r w:rsidRPr="001340E6">
        <w:rPr>
          <w:rFonts w:ascii="Times New Roman" w:hAnsi="Times New Roman" w:cs="Times New Roman"/>
          <w:i/>
          <w:sz w:val="22"/>
          <w:szCs w:val="22"/>
        </w:rPr>
        <w:t>/п»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661BBB"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 xml:space="preserve">ребования к минимальному количеству персонала участника предварительного отбора, </w:t>
      </w:r>
    </w:p>
    <w:p w:rsidR="00323849" w:rsidRPr="007A4D95" w:rsidRDefault="00F221B9" w:rsidP="00363420">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F221B9" w:rsidRPr="007A4D95" w:rsidRDefault="00F221B9" w:rsidP="007A4D95">
      <w:pPr>
        <w:spacing w:after="0" w:line="240" w:lineRule="auto"/>
        <w:jc w:val="both"/>
        <w:rPr>
          <w:rFonts w:ascii="Times New Roman" w:eastAsia="Calibri" w:hAnsi="Times New Roman" w:cs="Times New Roman"/>
          <w:b/>
          <w:u w:val="single"/>
        </w:rPr>
      </w:pPr>
    </w:p>
    <w:p w:rsidR="001C0A1B" w:rsidRPr="007A4D95" w:rsidRDefault="001C0A1B" w:rsidP="007A4D95">
      <w:pPr>
        <w:spacing w:after="0" w:line="240" w:lineRule="auto"/>
        <w:jc w:val="both"/>
        <w:rPr>
          <w:rFonts w:ascii="Times New Roman" w:eastAsia="Calibri" w:hAnsi="Times New Roman" w:cs="Times New Roman"/>
          <w:szCs w:val="24"/>
        </w:rPr>
      </w:pPr>
      <w:r w:rsidRPr="007A4D95">
        <w:rPr>
          <w:rFonts w:ascii="Times New Roman" w:eastAsia="Calibri" w:hAnsi="Times New Roman" w:cs="Times New Roman"/>
          <w:b/>
          <w:szCs w:val="24"/>
          <w:u w:val="single"/>
        </w:rPr>
        <w:t xml:space="preserve">Вид работ №13 </w:t>
      </w:r>
      <w:r w:rsidRPr="007A4D95">
        <w:rPr>
          <w:rFonts w:ascii="Times New Roman" w:eastAsia="Calibri" w:hAnsi="Times New Roman" w:cs="Times New Roman"/>
          <w:szCs w:val="24"/>
        </w:rPr>
        <w:t xml:space="preserve">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1C0A1B" w:rsidRPr="007A4D95" w:rsidRDefault="001C0A1B" w:rsidP="007A4D95">
      <w:pPr>
        <w:spacing w:after="0" w:line="240" w:lineRule="auto"/>
        <w:jc w:val="both"/>
        <w:rPr>
          <w:rFonts w:ascii="Times New Roman" w:eastAsia="Calibri" w:hAnsi="Times New Roman" w:cs="Times New Roman"/>
          <w:szCs w:val="24"/>
        </w:rPr>
      </w:pPr>
    </w:p>
    <w:p w:rsidR="001C0A1B" w:rsidRPr="007A4D95" w:rsidRDefault="001C0A1B" w:rsidP="007A4D95">
      <w:pPr>
        <w:numPr>
          <w:ilvl w:val="0"/>
          <w:numId w:val="41"/>
        </w:numPr>
        <w:autoSpaceDE w:val="0"/>
        <w:autoSpaceDN w:val="0"/>
        <w:adjustRightInd w:val="0"/>
        <w:spacing w:after="0" w:line="240" w:lineRule="auto"/>
        <w:ind w:left="0" w:firstLine="426"/>
        <w:jc w:val="both"/>
        <w:rPr>
          <w:rFonts w:ascii="Times New Roman" w:eastAsia="Calibri" w:hAnsi="Times New Roman" w:cs="Times New Roman"/>
          <w:szCs w:val="24"/>
        </w:rPr>
      </w:pPr>
      <w:r w:rsidRPr="007A4D95">
        <w:rPr>
          <w:rFonts w:ascii="Times New Roman" w:eastAsia="Calibri" w:hAnsi="Times New Roman" w:cs="Times New Roman"/>
          <w:szCs w:val="24"/>
        </w:rPr>
        <w:t>Требования к минимальному количеству квалифицированного персонала участника предварительного отбора</w:t>
      </w:r>
    </w:p>
    <w:p w:rsidR="001C0A1B" w:rsidRPr="007A4D95" w:rsidRDefault="001C0A1B" w:rsidP="007A4D95">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1.1 Наличие по месту основной работы работников индивидуального предпринимателя, работни</w:t>
      </w:r>
      <w:r w:rsidR="00633199">
        <w:rPr>
          <w:rFonts w:ascii="Times New Roman" w:eastAsia="Calibri" w:hAnsi="Times New Roman" w:cs="Times New Roman"/>
          <w:szCs w:val="24"/>
        </w:rPr>
        <w:t xml:space="preserve">ков юридического лица, имеющих высшее </w:t>
      </w:r>
      <w:r w:rsidRPr="007A4D95">
        <w:rPr>
          <w:rFonts w:ascii="Times New Roman" w:eastAsia="Calibri" w:hAnsi="Times New Roman" w:cs="Times New Roman"/>
          <w:szCs w:val="24"/>
        </w:rPr>
        <w:t>профессиональное образование соответствующего профиля для выполнения определенных работ по организации подг</w:t>
      </w:r>
      <w:r w:rsidR="00633199">
        <w:rPr>
          <w:rFonts w:ascii="Times New Roman" w:eastAsia="Calibri" w:hAnsi="Times New Roman" w:cs="Times New Roman"/>
          <w:szCs w:val="24"/>
        </w:rPr>
        <w:t xml:space="preserve">отовки проектной документации. </w:t>
      </w:r>
      <w:r w:rsidRPr="007A4D95">
        <w:rPr>
          <w:rFonts w:ascii="Times New Roman" w:eastAsia="Calibri" w:hAnsi="Times New Roman" w:cs="Times New Roman"/>
          <w:szCs w:val="24"/>
        </w:rPr>
        <w:t>При этом не менее чем три работника должны иметь высшее  профессиональное образование и стаж их работы  по специальности  должен составлять не  менее чем 5 лет.</w:t>
      </w:r>
    </w:p>
    <w:p w:rsidR="001C0A1B" w:rsidRPr="007A4D95" w:rsidRDefault="001C0A1B" w:rsidP="007A4D95">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1.2. Наличие у индивидуального предпринимателя высшего  профессионального образования соответствующего профиля для выполнения определенных работ по организации подготовки проектной документации, которые могут выполняться индивидуальным предпринимателем самостоятельно, и стажа работ по специальности не менее чем десять</w:t>
      </w:r>
      <w:r w:rsidRPr="007A4D95">
        <w:rPr>
          <w:rFonts w:ascii="Times New Roman" w:eastAsia="Calibri" w:hAnsi="Times New Roman" w:cs="Times New Roman"/>
          <w:b/>
          <w:sz w:val="28"/>
          <w:szCs w:val="28"/>
        </w:rPr>
        <w:t xml:space="preserve"> </w:t>
      </w:r>
      <w:r w:rsidRPr="007A4D95">
        <w:rPr>
          <w:rFonts w:ascii="Times New Roman" w:eastAsia="Calibri" w:hAnsi="Times New Roman" w:cs="Times New Roman"/>
          <w:szCs w:val="24"/>
        </w:rPr>
        <w:t>лет;</w:t>
      </w:r>
    </w:p>
    <w:p w:rsidR="001C0A1B" w:rsidRPr="007A4D95" w:rsidRDefault="001C0A1B" w:rsidP="007A4D95">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1.3.  Повышение не реже чем один раз в пять лет квалификации указанными в пунктах </w:t>
      </w:r>
      <w:r w:rsidR="00363420">
        <w:rPr>
          <w:rFonts w:ascii="Times New Roman" w:eastAsia="Calibri" w:hAnsi="Times New Roman" w:cs="Times New Roman"/>
          <w:szCs w:val="24"/>
        </w:rPr>
        <w:t>1</w:t>
      </w:r>
      <w:r w:rsidRPr="007A4D95">
        <w:rPr>
          <w:rFonts w:ascii="Times New Roman" w:eastAsia="Calibri" w:hAnsi="Times New Roman" w:cs="Times New Roman"/>
          <w:szCs w:val="24"/>
        </w:rPr>
        <w:t xml:space="preserve">.1 и </w:t>
      </w:r>
      <w:r w:rsidR="00363420">
        <w:rPr>
          <w:rFonts w:ascii="Times New Roman" w:eastAsia="Calibri" w:hAnsi="Times New Roman" w:cs="Times New Roman"/>
          <w:szCs w:val="24"/>
        </w:rPr>
        <w:t>1</w:t>
      </w:r>
      <w:r w:rsidRPr="007A4D95">
        <w:rPr>
          <w:rFonts w:ascii="Times New Roman" w:eastAsia="Calibri" w:hAnsi="Times New Roman" w:cs="Times New Roman"/>
          <w:szCs w:val="24"/>
        </w:rPr>
        <w:t>.2  работниками и индивидуальным предпринимателем с проведением их аттестации.</w:t>
      </w:r>
    </w:p>
    <w:p w:rsidR="001C0A1B" w:rsidRPr="007A4D95" w:rsidRDefault="001C0A1B" w:rsidP="007A4D95">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1.4. </w:t>
      </w:r>
      <w:proofErr w:type="gramStart"/>
      <w:r w:rsidRPr="007A4D95">
        <w:rPr>
          <w:rFonts w:ascii="Times New Roman" w:eastAsia="Calibri" w:hAnsi="Times New Roman" w:cs="Times New Roman"/>
          <w:szCs w:val="24"/>
        </w:rPr>
        <w:t>В штате юридического лица или в числе работников индивидуального предпринимателя (включая самого индивидуального предпринимателя) должно быть как минимум два лица,  ответственных за контроль качества работ, которые являются главными специалистами</w:t>
      </w:r>
      <w:r w:rsidRPr="007A4D95">
        <w:rPr>
          <w:rFonts w:ascii="Times New Roman" w:eastAsia="Calibri" w:hAnsi="Times New Roman" w:cs="Times New Roman"/>
          <w:color w:val="FF0000"/>
          <w:szCs w:val="24"/>
        </w:rPr>
        <w:t xml:space="preserve"> </w:t>
      </w:r>
      <w:r w:rsidR="00633199">
        <w:rPr>
          <w:rFonts w:ascii="Times New Roman" w:eastAsia="Calibri" w:hAnsi="Times New Roman" w:cs="Times New Roman"/>
          <w:szCs w:val="24"/>
        </w:rPr>
        <w:t xml:space="preserve">с высшим образованием, </w:t>
      </w:r>
      <w:r w:rsidRPr="007A4D95">
        <w:rPr>
          <w:rFonts w:ascii="Times New Roman" w:eastAsia="Calibri" w:hAnsi="Times New Roman" w:cs="Times New Roman"/>
          <w:szCs w:val="24"/>
        </w:rPr>
        <w:t>имеют квалификацию архитектора и инженера-строителя, обладают квалификационным аттестатом и имеют стаж  работы по специальности не менее 10</w:t>
      </w:r>
      <w:r w:rsidRPr="007A4D95">
        <w:rPr>
          <w:rFonts w:ascii="Times New Roman" w:eastAsia="Calibri" w:hAnsi="Times New Roman" w:cs="Times New Roman"/>
          <w:b/>
          <w:sz w:val="28"/>
          <w:szCs w:val="28"/>
        </w:rPr>
        <w:t xml:space="preserve"> </w:t>
      </w:r>
      <w:r w:rsidRPr="007A4D95">
        <w:rPr>
          <w:rFonts w:ascii="Times New Roman" w:eastAsia="Calibri" w:hAnsi="Times New Roman" w:cs="Times New Roman"/>
          <w:szCs w:val="24"/>
        </w:rPr>
        <w:t xml:space="preserve">лет, в том числе по организации </w:t>
      </w:r>
      <w:r w:rsidRPr="007A4D95">
        <w:rPr>
          <w:rFonts w:ascii="Times New Roman" w:eastAsia="Calibri" w:hAnsi="Times New Roman" w:cs="Times New Roman"/>
          <w:color w:val="000000"/>
          <w:szCs w:val="24"/>
        </w:rPr>
        <w:t>подготовки проектной документации</w:t>
      </w:r>
      <w:r w:rsidRPr="007A4D95">
        <w:rPr>
          <w:rFonts w:ascii="Times New Roman" w:eastAsia="Calibri" w:hAnsi="Times New Roman" w:cs="Times New Roman"/>
          <w:szCs w:val="24"/>
        </w:rPr>
        <w:t xml:space="preserve"> не менее</w:t>
      </w:r>
      <w:proofErr w:type="gramEnd"/>
      <w:r w:rsidRPr="007A4D95">
        <w:rPr>
          <w:rFonts w:ascii="Times New Roman" w:eastAsia="Calibri" w:hAnsi="Times New Roman" w:cs="Times New Roman"/>
          <w:szCs w:val="24"/>
        </w:rPr>
        <w:t xml:space="preserve"> 5 лет.  Указанные лица не должны быть заявлены как  квалифицированные работники иного юридического лица или индивидуального предпринимателя.</w:t>
      </w:r>
    </w:p>
    <w:p w:rsidR="001C0A1B" w:rsidRPr="007A4D95" w:rsidRDefault="001C0A1B" w:rsidP="007A4D95">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1.5.  Требованием к повышению квалификации является:</w:t>
      </w:r>
    </w:p>
    <w:p w:rsidR="001C0A1B" w:rsidRPr="007A4D95" w:rsidRDefault="001C0A1B" w:rsidP="007A4D95">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 повышение квалификации руководителями и специалистами юридического лица, индивидуальным предпринимателем и его работниками не реже чем один раз в 5 лет с проведением их аттестации. </w:t>
      </w:r>
    </w:p>
    <w:p w:rsidR="00D740F8" w:rsidRPr="00D740F8" w:rsidRDefault="00D740F8" w:rsidP="001C0A1B">
      <w:pPr>
        <w:spacing w:after="0" w:line="240" w:lineRule="auto"/>
        <w:jc w:val="both"/>
        <w:rPr>
          <w:rFonts w:ascii="Times New Roman" w:hAnsi="Times New Roman" w:cs="Times New Roman"/>
        </w:rPr>
      </w:pPr>
    </w:p>
    <w:sectPr w:rsidR="00D740F8"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9DD" w:rsidRDefault="005C29DD" w:rsidP="009E4821">
      <w:pPr>
        <w:spacing w:after="0" w:line="240" w:lineRule="auto"/>
      </w:pPr>
      <w:r>
        <w:separator/>
      </w:r>
    </w:p>
  </w:endnote>
  <w:endnote w:type="continuationSeparator" w:id="0">
    <w:p w:rsidR="005C29DD" w:rsidRDefault="005C29DD"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9DD" w:rsidRDefault="005C29DD" w:rsidP="009E4821">
      <w:pPr>
        <w:spacing w:after="0" w:line="240" w:lineRule="auto"/>
      </w:pPr>
      <w:r>
        <w:separator/>
      </w:r>
    </w:p>
  </w:footnote>
  <w:footnote w:type="continuationSeparator" w:id="0">
    <w:p w:rsidR="005C29DD" w:rsidRDefault="005C29DD" w:rsidP="009E4821">
      <w:pPr>
        <w:spacing w:after="0" w:line="240" w:lineRule="auto"/>
      </w:pPr>
      <w:r>
        <w:continuationSeparator/>
      </w:r>
    </w:p>
  </w:footnote>
  <w:footnote w:id="1">
    <w:p w:rsidR="0054376D" w:rsidRPr="00A74CA9" w:rsidRDefault="0054376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54376D" w:rsidRPr="00A74CA9" w:rsidRDefault="0054376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54376D" w:rsidRPr="00A74CA9" w:rsidRDefault="0054376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54376D" w:rsidRPr="00A74CA9" w:rsidRDefault="0054376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9">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0">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7"/>
  </w:num>
  <w:num w:numId="3">
    <w:abstractNumId w:val="17"/>
  </w:num>
  <w:num w:numId="4">
    <w:abstractNumId w:val="36"/>
  </w:num>
  <w:num w:numId="5">
    <w:abstractNumId w:val="20"/>
  </w:num>
  <w:num w:numId="6">
    <w:abstractNumId w:val="37"/>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3"/>
  </w:num>
  <w:num w:numId="15">
    <w:abstractNumId w:val="16"/>
  </w:num>
  <w:num w:numId="16">
    <w:abstractNumId w:val="4"/>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5"/>
  </w:num>
  <w:num w:numId="25">
    <w:abstractNumId w:val="22"/>
  </w:num>
  <w:num w:numId="26">
    <w:abstractNumId w:val="0"/>
  </w:num>
  <w:num w:numId="27">
    <w:abstractNumId w:val="38"/>
  </w:num>
  <w:num w:numId="28">
    <w:abstractNumId w:val="18"/>
  </w:num>
  <w:num w:numId="29">
    <w:abstractNumId w:val="6"/>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0"/>
  </w:num>
  <w:num w:numId="37">
    <w:abstractNumId w:val="34"/>
  </w:num>
  <w:num w:numId="38">
    <w:abstractNumId w:val="33"/>
  </w:num>
  <w:num w:numId="39">
    <w:abstractNumId w:val="1"/>
  </w:num>
  <w:num w:numId="40">
    <w:abstractNumId w:val="39"/>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2038F"/>
    <w:rsid w:val="00031801"/>
    <w:rsid w:val="000421C7"/>
    <w:rsid w:val="000558F3"/>
    <w:rsid w:val="00057F71"/>
    <w:rsid w:val="000611C9"/>
    <w:rsid w:val="00081E49"/>
    <w:rsid w:val="0008295B"/>
    <w:rsid w:val="00094FC1"/>
    <w:rsid w:val="000B03A3"/>
    <w:rsid w:val="000B589E"/>
    <w:rsid w:val="000B6D93"/>
    <w:rsid w:val="000B7C7B"/>
    <w:rsid w:val="000C1235"/>
    <w:rsid w:val="000C6B05"/>
    <w:rsid w:val="000D029F"/>
    <w:rsid w:val="000E04AA"/>
    <w:rsid w:val="000F57A1"/>
    <w:rsid w:val="000F72C6"/>
    <w:rsid w:val="00102715"/>
    <w:rsid w:val="0010455B"/>
    <w:rsid w:val="00115390"/>
    <w:rsid w:val="00131B55"/>
    <w:rsid w:val="00131DC5"/>
    <w:rsid w:val="001340E6"/>
    <w:rsid w:val="0013483D"/>
    <w:rsid w:val="0014438E"/>
    <w:rsid w:val="00147F12"/>
    <w:rsid w:val="001608A9"/>
    <w:rsid w:val="00180A6A"/>
    <w:rsid w:val="00197D1E"/>
    <w:rsid w:val="001A4456"/>
    <w:rsid w:val="001B7599"/>
    <w:rsid w:val="001C0A1B"/>
    <w:rsid w:val="001C107A"/>
    <w:rsid w:val="001C2535"/>
    <w:rsid w:val="001D4FBA"/>
    <w:rsid w:val="001E0AA3"/>
    <w:rsid w:val="001E0B79"/>
    <w:rsid w:val="001E2B29"/>
    <w:rsid w:val="001E409C"/>
    <w:rsid w:val="001F4302"/>
    <w:rsid w:val="0020002F"/>
    <w:rsid w:val="0020544E"/>
    <w:rsid w:val="00207A81"/>
    <w:rsid w:val="00210641"/>
    <w:rsid w:val="002248E8"/>
    <w:rsid w:val="00230F62"/>
    <w:rsid w:val="002347E2"/>
    <w:rsid w:val="00234F4A"/>
    <w:rsid w:val="002412B3"/>
    <w:rsid w:val="002421FB"/>
    <w:rsid w:val="002457D5"/>
    <w:rsid w:val="002545C0"/>
    <w:rsid w:val="00255FDD"/>
    <w:rsid w:val="0028092B"/>
    <w:rsid w:val="00281FF3"/>
    <w:rsid w:val="002831D7"/>
    <w:rsid w:val="00283FAE"/>
    <w:rsid w:val="00287B0F"/>
    <w:rsid w:val="00290990"/>
    <w:rsid w:val="002A4012"/>
    <w:rsid w:val="002A6408"/>
    <w:rsid w:val="002A69C4"/>
    <w:rsid w:val="002A7285"/>
    <w:rsid w:val="002B0DB4"/>
    <w:rsid w:val="002B5CA6"/>
    <w:rsid w:val="002C1888"/>
    <w:rsid w:val="002C57DF"/>
    <w:rsid w:val="002C6B86"/>
    <w:rsid w:val="002D02B7"/>
    <w:rsid w:val="002D188B"/>
    <w:rsid w:val="002D575F"/>
    <w:rsid w:val="002E521A"/>
    <w:rsid w:val="002F085F"/>
    <w:rsid w:val="002F5B90"/>
    <w:rsid w:val="00302095"/>
    <w:rsid w:val="00310603"/>
    <w:rsid w:val="00311F3B"/>
    <w:rsid w:val="0031398C"/>
    <w:rsid w:val="00322680"/>
    <w:rsid w:val="00323849"/>
    <w:rsid w:val="003250E6"/>
    <w:rsid w:val="0034552F"/>
    <w:rsid w:val="00347876"/>
    <w:rsid w:val="00350657"/>
    <w:rsid w:val="003553B6"/>
    <w:rsid w:val="00363420"/>
    <w:rsid w:val="003716B7"/>
    <w:rsid w:val="0037604D"/>
    <w:rsid w:val="003760DD"/>
    <w:rsid w:val="003803CD"/>
    <w:rsid w:val="00384362"/>
    <w:rsid w:val="0038742A"/>
    <w:rsid w:val="003926AE"/>
    <w:rsid w:val="003A4E26"/>
    <w:rsid w:val="003B18BC"/>
    <w:rsid w:val="003B5555"/>
    <w:rsid w:val="003C1A43"/>
    <w:rsid w:val="003C53CE"/>
    <w:rsid w:val="003C5F31"/>
    <w:rsid w:val="003C67F8"/>
    <w:rsid w:val="003D1598"/>
    <w:rsid w:val="003D6C67"/>
    <w:rsid w:val="003E4B4C"/>
    <w:rsid w:val="003F1AE9"/>
    <w:rsid w:val="004146BE"/>
    <w:rsid w:val="00416477"/>
    <w:rsid w:val="00423B22"/>
    <w:rsid w:val="00426364"/>
    <w:rsid w:val="00431250"/>
    <w:rsid w:val="004326A1"/>
    <w:rsid w:val="00434B65"/>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1899"/>
    <w:rsid w:val="004B4ED0"/>
    <w:rsid w:val="004C29D9"/>
    <w:rsid w:val="004C53DB"/>
    <w:rsid w:val="004D60B8"/>
    <w:rsid w:val="004E0564"/>
    <w:rsid w:val="004F1A64"/>
    <w:rsid w:val="004F34EB"/>
    <w:rsid w:val="004F3A78"/>
    <w:rsid w:val="0050341B"/>
    <w:rsid w:val="00510680"/>
    <w:rsid w:val="00523365"/>
    <w:rsid w:val="00525527"/>
    <w:rsid w:val="00530D85"/>
    <w:rsid w:val="00536F47"/>
    <w:rsid w:val="0054376D"/>
    <w:rsid w:val="0054670A"/>
    <w:rsid w:val="005520A8"/>
    <w:rsid w:val="00555F5F"/>
    <w:rsid w:val="005574C4"/>
    <w:rsid w:val="00557CDF"/>
    <w:rsid w:val="0056384B"/>
    <w:rsid w:val="00565956"/>
    <w:rsid w:val="00571664"/>
    <w:rsid w:val="00596D07"/>
    <w:rsid w:val="005A31BB"/>
    <w:rsid w:val="005B3EEE"/>
    <w:rsid w:val="005B5436"/>
    <w:rsid w:val="005B7519"/>
    <w:rsid w:val="005C1D70"/>
    <w:rsid w:val="005C29DD"/>
    <w:rsid w:val="005E0F51"/>
    <w:rsid w:val="005F2F03"/>
    <w:rsid w:val="006009FF"/>
    <w:rsid w:val="00610292"/>
    <w:rsid w:val="00614B40"/>
    <w:rsid w:val="0063318E"/>
    <w:rsid w:val="00633199"/>
    <w:rsid w:val="0064132A"/>
    <w:rsid w:val="00644426"/>
    <w:rsid w:val="00644EE5"/>
    <w:rsid w:val="006461C0"/>
    <w:rsid w:val="00656FB2"/>
    <w:rsid w:val="00661BBB"/>
    <w:rsid w:val="006648C6"/>
    <w:rsid w:val="00673BE4"/>
    <w:rsid w:val="006750EF"/>
    <w:rsid w:val="00677A6D"/>
    <w:rsid w:val="006B0DFC"/>
    <w:rsid w:val="006B47CC"/>
    <w:rsid w:val="006C1B30"/>
    <w:rsid w:val="00701672"/>
    <w:rsid w:val="007050C6"/>
    <w:rsid w:val="007070DC"/>
    <w:rsid w:val="00723C4F"/>
    <w:rsid w:val="00723E3D"/>
    <w:rsid w:val="00733D3F"/>
    <w:rsid w:val="00742E94"/>
    <w:rsid w:val="0075224E"/>
    <w:rsid w:val="00766A74"/>
    <w:rsid w:val="00773C1A"/>
    <w:rsid w:val="0077432A"/>
    <w:rsid w:val="0077518C"/>
    <w:rsid w:val="0079019E"/>
    <w:rsid w:val="00790FCC"/>
    <w:rsid w:val="0079132B"/>
    <w:rsid w:val="007913EA"/>
    <w:rsid w:val="007A4D95"/>
    <w:rsid w:val="007B7BCD"/>
    <w:rsid w:val="007C0B79"/>
    <w:rsid w:val="007C2C8D"/>
    <w:rsid w:val="007D4CDC"/>
    <w:rsid w:val="007E439A"/>
    <w:rsid w:val="007F16A8"/>
    <w:rsid w:val="007F18CE"/>
    <w:rsid w:val="00813AF3"/>
    <w:rsid w:val="00814707"/>
    <w:rsid w:val="00822C56"/>
    <w:rsid w:val="008240B2"/>
    <w:rsid w:val="008243B6"/>
    <w:rsid w:val="00831AA2"/>
    <w:rsid w:val="008557A5"/>
    <w:rsid w:val="00855F1A"/>
    <w:rsid w:val="00857C24"/>
    <w:rsid w:val="008709A1"/>
    <w:rsid w:val="00884D4C"/>
    <w:rsid w:val="00891141"/>
    <w:rsid w:val="00894CC4"/>
    <w:rsid w:val="00896DA9"/>
    <w:rsid w:val="008B7161"/>
    <w:rsid w:val="008C5819"/>
    <w:rsid w:val="008D1543"/>
    <w:rsid w:val="008F5319"/>
    <w:rsid w:val="00905414"/>
    <w:rsid w:val="009136B0"/>
    <w:rsid w:val="00922F89"/>
    <w:rsid w:val="00927235"/>
    <w:rsid w:val="00963CF7"/>
    <w:rsid w:val="00977B75"/>
    <w:rsid w:val="00983CF7"/>
    <w:rsid w:val="009927FE"/>
    <w:rsid w:val="009946A2"/>
    <w:rsid w:val="009A0AA9"/>
    <w:rsid w:val="009A643C"/>
    <w:rsid w:val="009A64E9"/>
    <w:rsid w:val="009B00D2"/>
    <w:rsid w:val="009B5B8D"/>
    <w:rsid w:val="009C09CF"/>
    <w:rsid w:val="009C25BF"/>
    <w:rsid w:val="009D02E3"/>
    <w:rsid w:val="009D37DB"/>
    <w:rsid w:val="009D45F3"/>
    <w:rsid w:val="009E13B6"/>
    <w:rsid w:val="009E4821"/>
    <w:rsid w:val="009F6928"/>
    <w:rsid w:val="009F6C5C"/>
    <w:rsid w:val="00A157B9"/>
    <w:rsid w:val="00A3382A"/>
    <w:rsid w:val="00A44538"/>
    <w:rsid w:val="00A53AD1"/>
    <w:rsid w:val="00A56793"/>
    <w:rsid w:val="00A63670"/>
    <w:rsid w:val="00A6380D"/>
    <w:rsid w:val="00A65B71"/>
    <w:rsid w:val="00A74CA9"/>
    <w:rsid w:val="00A85623"/>
    <w:rsid w:val="00A9114E"/>
    <w:rsid w:val="00AA1B94"/>
    <w:rsid w:val="00AC1073"/>
    <w:rsid w:val="00AC6BFE"/>
    <w:rsid w:val="00AE1A7F"/>
    <w:rsid w:val="00AE7D4F"/>
    <w:rsid w:val="00AF12E9"/>
    <w:rsid w:val="00AF4D6B"/>
    <w:rsid w:val="00AF6C6A"/>
    <w:rsid w:val="00AF6F59"/>
    <w:rsid w:val="00B0778F"/>
    <w:rsid w:val="00B13478"/>
    <w:rsid w:val="00B32771"/>
    <w:rsid w:val="00B3463C"/>
    <w:rsid w:val="00B403E2"/>
    <w:rsid w:val="00B41CE8"/>
    <w:rsid w:val="00B60540"/>
    <w:rsid w:val="00B712A0"/>
    <w:rsid w:val="00B873F6"/>
    <w:rsid w:val="00B95A42"/>
    <w:rsid w:val="00BB3504"/>
    <w:rsid w:val="00BB4421"/>
    <w:rsid w:val="00BB5131"/>
    <w:rsid w:val="00BC039E"/>
    <w:rsid w:val="00BC7661"/>
    <w:rsid w:val="00BD2FA1"/>
    <w:rsid w:val="00BF0EAC"/>
    <w:rsid w:val="00C00C3B"/>
    <w:rsid w:val="00C10D70"/>
    <w:rsid w:val="00C14015"/>
    <w:rsid w:val="00C21933"/>
    <w:rsid w:val="00C2240E"/>
    <w:rsid w:val="00C35E9F"/>
    <w:rsid w:val="00C541C6"/>
    <w:rsid w:val="00C555B0"/>
    <w:rsid w:val="00C63767"/>
    <w:rsid w:val="00C709B4"/>
    <w:rsid w:val="00C770EC"/>
    <w:rsid w:val="00C838A7"/>
    <w:rsid w:val="00C97715"/>
    <w:rsid w:val="00CB2A0F"/>
    <w:rsid w:val="00CD5325"/>
    <w:rsid w:val="00CF2B55"/>
    <w:rsid w:val="00CF33E3"/>
    <w:rsid w:val="00D12237"/>
    <w:rsid w:val="00D20BED"/>
    <w:rsid w:val="00D36F54"/>
    <w:rsid w:val="00D41BAF"/>
    <w:rsid w:val="00D51B61"/>
    <w:rsid w:val="00D67AD3"/>
    <w:rsid w:val="00D740F8"/>
    <w:rsid w:val="00D84A1A"/>
    <w:rsid w:val="00D90A50"/>
    <w:rsid w:val="00D92DA9"/>
    <w:rsid w:val="00D94865"/>
    <w:rsid w:val="00DB5CE1"/>
    <w:rsid w:val="00DD24E1"/>
    <w:rsid w:val="00DE0025"/>
    <w:rsid w:val="00DE11E5"/>
    <w:rsid w:val="00E142DC"/>
    <w:rsid w:val="00E14F56"/>
    <w:rsid w:val="00E1786C"/>
    <w:rsid w:val="00E2263E"/>
    <w:rsid w:val="00E47007"/>
    <w:rsid w:val="00E47DDF"/>
    <w:rsid w:val="00E504B5"/>
    <w:rsid w:val="00E572FC"/>
    <w:rsid w:val="00E670A7"/>
    <w:rsid w:val="00E675AA"/>
    <w:rsid w:val="00E67A95"/>
    <w:rsid w:val="00E856FC"/>
    <w:rsid w:val="00E877FA"/>
    <w:rsid w:val="00E94A4F"/>
    <w:rsid w:val="00EB20EF"/>
    <w:rsid w:val="00EB7677"/>
    <w:rsid w:val="00EC57A9"/>
    <w:rsid w:val="00EC6524"/>
    <w:rsid w:val="00EE1E26"/>
    <w:rsid w:val="00EE327D"/>
    <w:rsid w:val="00EE4B09"/>
    <w:rsid w:val="00EF0697"/>
    <w:rsid w:val="00EF3B3E"/>
    <w:rsid w:val="00F211C3"/>
    <w:rsid w:val="00F2121C"/>
    <w:rsid w:val="00F221B9"/>
    <w:rsid w:val="00F2560A"/>
    <w:rsid w:val="00F302D1"/>
    <w:rsid w:val="00F37236"/>
    <w:rsid w:val="00F561B1"/>
    <w:rsid w:val="00F5660B"/>
    <w:rsid w:val="00F62B79"/>
    <w:rsid w:val="00F640D0"/>
    <w:rsid w:val="00F64B45"/>
    <w:rsid w:val="00F725BC"/>
    <w:rsid w:val="00F84753"/>
    <w:rsid w:val="00F86994"/>
    <w:rsid w:val="00FA6C7C"/>
    <w:rsid w:val="00FB2761"/>
    <w:rsid w:val="00FB3957"/>
    <w:rsid w:val="00FC0A8C"/>
    <w:rsid w:val="00FC425B"/>
    <w:rsid w:val="00FC5A61"/>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8B15B1DEDBEE73D240448D172E66E6B236391360FmEC" TargetMode="External"/><Relationship Id="rId5" Type="http://schemas.openxmlformats.org/officeDocument/2006/relationships/webSettings" Target="webSettings.xml"/><Relationship Id="rId10" Type="http://schemas.openxmlformats.org/officeDocument/2006/relationships/hyperlink" Target="consultantplus://offline/ref=159D6772CD8C0AA84277AB94C86AFCD152EF89B95116EDBEE73D2404480Dm1C" TargetMode="External"/><Relationship Id="rId4" Type="http://schemas.openxmlformats.org/officeDocument/2006/relationships/settings" Target="settings.xml"/><Relationship Id="rId9" Type="http://schemas.openxmlformats.org/officeDocument/2006/relationships/hyperlink" Target="http://docs.cntd.ru/document/90218628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4CB9A-0F96-494E-A339-C4EC289C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21</Pages>
  <Words>9709</Words>
  <Characters>55346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9</cp:revision>
  <cp:lastPrinted>2016-08-31T10:06:00Z</cp:lastPrinted>
  <dcterms:created xsi:type="dcterms:W3CDTF">2016-08-31T08:46:00Z</dcterms:created>
  <dcterms:modified xsi:type="dcterms:W3CDTF">2016-11-23T09:03:00Z</dcterms:modified>
</cp:coreProperties>
</file>